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467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81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5998"/>
        <w:gridCol w:w="3783"/>
      </w:tblGrid>
      <w:tr w:rsidR="00B11C1F" w14:paraId="6BC5B414" w14:textId="77777777">
        <w:trPr>
          <w:trHeight w:val="464"/>
        </w:trPr>
        <w:tc>
          <w:tcPr>
            <w:tcW w:w="5998" w:type="dxa"/>
            <w:tcBorders>
              <w:bottom w:val="single" w:sz="4" w:space="0" w:color="000000"/>
            </w:tcBorders>
          </w:tcPr>
          <w:p w14:paraId="63E5D623" w14:textId="77777777" w:rsidR="00B11C1F" w:rsidRDefault="0027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277"/>
              <w:rPr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გაერთიანებული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ერები</w:t>
            </w: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14:paraId="0354EAF0" w14:textId="77777777" w:rsidR="00B11C1F" w:rsidRDefault="0027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4" w:lineRule="auto"/>
              <w:ind w:left="1242" w:right="-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40"/>
                <w:szCs w:val="40"/>
              </w:rPr>
              <w:t>CRPD</w:t>
            </w:r>
            <w:r>
              <w:rPr>
                <w:color w:val="000000"/>
                <w:sz w:val="20"/>
                <w:szCs w:val="20"/>
              </w:rPr>
              <w:t>/C/21/D/42/2017</w:t>
            </w:r>
          </w:p>
        </w:tc>
      </w:tr>
      <w:tr w:rsidR="00B11C1F" w14:paraId="6735BD02" w14:textId="77777777">
        <w:trPr>
          <w:trHeight w:val="1197"/>
        </w:trPr>
        <w:tc>
          <w:tcPr>
            <w:tcW w:w="5998" w:type="dxa"/>
            <w:tcBorders>
              <w:top w:val="single" w:sz="4" w:space="0" w:color="000000"/>
            </w:tcBorders>
          </w:tcPr>
          <w:p w14:paraId="1A9A5AA2" w14:textId="77777777" w:rsidR="00B11C1F" w:rsidRDefault="0027280F">
            <w:pPr>
              <w:spacing w:before="120" w:line="380" w:lineRule="auto"/>
              <w:ind w:right="184"/>
              <w:jc w:val="right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შეზღუდული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შესაძლებლობის</w:t>
            </w:r>
          </w:p>
          <w:p w14:paraId="2E93AA88" w14:textId="77777777" w:rsidR="00B11C1F" w:rsidRDefault="0027280F">
            <w:pPr>
              <w:spacing w:before="120" w:line="380" w:lineRule="auto"/>
              <w:ind w:right="184"/>
              <w:jc w:val="right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მქონე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პირთა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უფლებების</w:t>
            </w:r>
          </w:p>
          <w:p w14:paraId="7201E74A" w14:textId="77777777" w:rsidR="00B11C1F" w:rsidRDefault="0027280F">
            <w:pPr>
              <w:spacing w:before="120" w:line="380" w:lineRule="auto"/>
              <w:ind w:right="184"/>
              <w:jc w:val="right"/>
              <w:rPr>
                <w:rFonts w:ascii="Merriweather" w:eastAsia="Merriweather" w:hAnsi="Merriweather" w:cs="Merriweather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კონვენცია</w:t>
            </w:r>
          </w:p>
          <w:p w14:paraId="4E12F173" w14:textId="77777777" w:rsidR="00B11C1F" w:rsidRDefault="00B11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32" w:lineRule="auto"/>
              <w:ind w:left="1277" w:right="803"/>
              <w:rPr>
                <w:b/>
                <w:color w:val="000000"/>
                <w:sz w:val="34"/>
                <w:szCs w:val="34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14:paraId="47C5B473" w14:textId="77777777" w:rsidR="00B11C1F" w:rsidRDefault="00B11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1"/>
                <w:szCs w:val="21"/>
              </w:rPr>
            </w:pPr>
          </w:p>
          <w:p w14:paraId="06A87A4B" w14:textId="77777777" w:rsidR="00B11C1F" w:rsidRDefault="0027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05" w:right="163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გავრც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საყოვ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  <w:p w14:paraId="086852E9" w14:textId="77777777" w:rsidR="00B11C1F" w:rsidRDefault="0027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05" w:right="16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მაისი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2019</w:t>
            </w:r>
          </w:p>
          <w:p w14:paraId="254168F2" w14:textId="77777777" w:rsidR="00B11C1F" w:rsidRDefault="00B11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14:paraId="5963DD82" w14:textId="77777777" w:rsidR="00B11C1F" w:rsidRDefault="0027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0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ორიგინალი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ინგლისური</w:t>
            </w:r>
          </w:p>
        </w:tc>
      </w:tr>
    </w:tbl>
    <w:p w14:paraId="13A0EE70" w14:textId="77777777" w:rsidR="00B11C1F" w:rsidRDefault="002728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hidden="0" allowOverlap="1" wp14:anchorId="15864220" wp14:editId="5AA37D98">
            <wp:simplePos x="0" y="0"/>
            <wp:positionH relativeFrom="page">
              <wp:posOffset>5040629</wp:posOffset>
            </wp:positionH>
            <wp:positionV relativeFrom="page">
              <wp:posOffset>10045064</wp:posOffset>
            </wp:positionV>
            <wp:extent cx="930249" cy="22987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49" cy="229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hidden="0" allowOverlap="1" wp14:anchorId="4D16245B" wp14:editId="657DA5BA">
            <wp:simplePos x="0" y="0"/>
            <wp:positionH relativeFrom="page">
              <wp:posOffset>6198870</wp:posOffset>
            </wp:positionH>
            <wp:positionV relativeFrom="page">
              <wp:posOffset>9694544</wp:posOffset>
            </wp:positionV>
            <wp:extent cx="552450" cy="552450"/>
            <wp:effectExtent l="0" t="0" r="0" b="0"/>
            <wp:wrapNone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0" distR="0" simplePos="0" relativeHeight="251660288" behindDoc="1" locked="0" layoutInCell="1" hidden="0" allowOverlap="1" wp14:anchorId="204BB547" wp14:editId="13761D11">
            <wp:simplePos x="0" y="0"/>
            <wp:positionH relativeFrom="page">
              <wp:posOffset>778075</wp:posOffset>
            </wp:positionH>
            <wp:positionV relativeFrom="page">
              <wp:posOffset>817561</wp:posOffset>
            </wp:positionV>
            <wp:extent cx="686095" cy="561975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09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3545D876" wp14:editId="538E050D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140450" cy="27940"/>
                <wp:effectExtent l="0" t="0" r="0" b="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538" y="3770793"/>
                          <a:ext cx="61309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303849" w14:textId="77777777" w:rsidR="00B11C1F" w:rsidRDefault="00B11C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6140450" cy="2794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E80A11" w14:textId="77777777" w:rsidR="00B11C1F" w:rsidRDefault="0027280F">
      <w:pPr>
        <w:spacing w:before="12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შეზღუდული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შესაძლებლობის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მქონე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პირთა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უფლებების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კომიტეტი</w:t>
      </w:r>
    </w:p>
    <w:p w14:paraId="23D6FDAD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31"/>
          <w:szCs w:val="31"/>
        </w:rPr>
      </w:pPr>
    </w:p>
    <w:p w14:paraId="09CEA4FA" w14:textId="77777777" w:rsidR="00B11C1F" w:rsidRDefault="0027280F">
      <w:pPr>
        <w:spacing w:line="223" w:lineRule="auto"/>
        <w:ind w:left="1266" w:right="1783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კომიტეტის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მიერ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ფაკულტატური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ოქმის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მე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-5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მუხლის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საფუძველზე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მიღებული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გადაწყვეტილება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14:paraId="579BB71A" w14:textId="77777777" w:rsidR="00B11C1F" w:rsidRDefault="0027280F">
      <w:pPr>
        <w:spacing w:line="305" w:lineRule="auto"/>
        <w:ind w:left="1266"/>
        <w:rPr>
          <w:rFonts w:ascii="Merriweather" w:eastAsia="Merriweather" w:hAnsi="Merriweather" w:cs="Merriweather"/>
          <w:sz w:val="20"/>
          <w:szCs w:val="20"/>
        </w:rPr>
      </w:pPr>
      <w:r>
        <w:rPr>
          <w:b/>
          <w:sz w:val="28"/>
          <w:szCs w:val="28"/>
        </w:rPr>
        <w:t>No. 42/2017</w:t>
      </w:r>
      <w:r>
        <w:rPr>
          <w:sz w:val="20"/>
          <w:szCs w:val="20"/>
        </w:rPr>
        <w:t>*</w:t>
      </w:r>
      <w:r>
        <w:rPr>
          <w:sz w:val="33"/>
          <w:szCs w:val="33"/>
          <w:vertAlign w:val="superscript"/>
        </w:rPr>
        <w:t xml:space="preserve">, </w:t>
      </w:r>
      <w:r>
        <w:rPr>
          <w:sz w:val="20"/>
          <w:szCs w:val="20"/>
        </w:rPr>
        <w:t xml:space="preserve">**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შეტყობინების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შესახებ</w:t>
      </w:r>
    </w:p>
    <w:p w14:paraId="0BCC47B3" w14:textId="77777777" w:rsidR="00B11C1F" w:rsidRDefault="0027280F">
      <w:pPr>
        <w:tabs>
          <w:tab w:val="left" w:pos="4669"/>
        </w:tabs>
        <w:spacing w:before="244"/>
        <w:ind w:left="12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შეტყობინების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წარმდგენი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ტ</w:t>
      </w:r>
      <w:r>
        <w:rPr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მ</w:t>
      </w:r>
      <w:r>
        <w:rPr>
          <w:sz w:val="20"/>
          <w:szCs w:val="20"/>
        </w:rPr>
        <w:t>. (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წარმომადგენელი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ს</w:t>
      </w:r>
      <w:r>
        <w:rPr>
          <w:sz w:val="20"/>
          <w:szCs w:val="20"/>
        </w:rPr>
        <w:t>.)</w:t>
      </w:r>
    </w:p>
    <w:p w14:paraId="36E75D0B" w14:textId="77777777" w:rsidR="00B11C1F" w:rsidRDefault="0027280F">
      <w:pPr>
        <w:tabs>
          <w:tab w:val="left" w:pos="4669"/>
        </w:tabs>
        <w:spacing w:before="130"/>
        <w:ind w:left="1266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სავარაუდო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დაზარალებული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ავტორი</w:t>
      </w:r>
    </w:p>
    <w:p w14:paraId="64E93F9E" w14:textId="77777777" w:rsidR="00B11C1F" w:rsidRDefault="0027280F">
      <w:pPr>
        <w:tabs>
          <w:tab w:val="left" w:pos="4669"/>
        </w:tabs>
        <w:spacing w:before="130"/>
        <w:ind w:left="1266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მხარე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საბერძნეთი</w:t>
      </w:r>
    </w:p>
    <w:p w14:paraId="633A7B52" w14:textId="77777777" w:rsidR="00B11C1F" w:rsidRDefault="0027280F">
      <w:pPr>
        <w:tabs>
          <w:tab w:val="left" w:pos="4669"/>
        </w:tabs>
        <w:spacing w:before="131"/>
        <w:ind w:left="12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წარდგენის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თარიღი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2017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21 </w:t>
      </w:r>
      <w:r>
        <w:rPr>
          <w:rFonts w:ascii="Arial Unicode MS" w:eastAsia="Arial Unicode MS" w:hAnsi="Arial Unicode MS" w:cs="Arial Unicode MS"/>
          <w:sz w:val="20"/>
          <w:szCs w:val="20"/>
        </w:rPr>
        <w:t>მარტი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თავდაპირველი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წარდგენა</w:t>
      </w:r>
      <w:r>
        <w:rPr>
          <w:sz w:val="20"/>
          <w:szCs w:val="20"/>
        </w:rPr>
        <w:t>)</w:t>
      </w:r>
    </w:p>
    <w:p w14:paraId="5599DA58" w14:textId="77777777" w:rsidR="00B11C1F" w:rsidRDefault="0027280F">
      <w:pPr>
        <w:pBdr>
          <w:top w:val="nil"/>
          <w:left w:val="nil"/>
          <w:bottom w:val="nil"/>
          <w:right w:val="nil"/>
          <w:between w:val="nil"/>
        </w:pBdr>
        <w:tabs>
          <w:tab w:val="left" w:pos="4669"/>
        </w:tabs>
        <w:spacing w:before="130" w:line="249" w:lineRule="auto"/>
        <w:ind w:left="4669" w:right="1470" w:hanging="3404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გამოყენებული</w:t>
      </w: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დოკუმენტები</w:t>
      </w:r>
      <w:r>
        <w:rPr>
          <w:i/>
          <w:color w:val="000000"/>
          <w:sz w:val="20"/>
          <w:szCs w:val="20"/>
        </w:rPr>
        <w:t>:</w:t>
      </w:r>
      <w:r>
        <w:rPr>
          <w:i/>
          <w:color w:val="000000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მიღებულია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რეგლამენტის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70-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წესის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გადაეგზავნა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29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ივნისს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გაცემული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დოკუმენტის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</w:p>
    <w:p w14:paraId="0A5A4ED8" w14:textId="77777777" w:rsidR="00B11C1F" w:rsidRDefault="0027280F">
      <w:pPr>
        <w:tabs>
          <w:tab w:val="left" w:pos="4669"/>
        </w:tabs>
        <w:spacing w:before="123"/>
        <w:ind w:left="1266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გადაწყვეტილების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მიღების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თარიღი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2019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 </w:t>
      </w:r>
      <w:r>
        <w:rPr>
          <w:rFonts w:ascii="Arial Unicode MS" w:eastAsia="Arial Unicode MS" w:hAnsi="Arial Unicode MS" w:cs="Arial Unicode MS"/>
          <w:sz w:val="20"/>
          <w:szCs w:val="20"/>
        </w:rPr>
        <w:t>აპრილი</w:t>
      </w:r>
    </w:p>
    <w:p w14:paraId="458F6506" w14:textId="77777777" w:rsidR="00B11C1F" w:rsidRDefault="0027280F">
      <w:pPr>
        <w:tabs>
          <w:tab w:val="left" w:pos="4669"/>
        </w:tabs>
        <w:spacing w:before="130"/>
        <w:ind w:left="1266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შეტყობინების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თემა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უზრუნვე</w:t>
      </w:r>
      <w:r>
        <w:rPr>
          <w:rFonts w:ascii="Arial Unicode MS" w:eastAsia="Arial Unicode MS" w:hAnsi="Arial Unicode MS" w:cs="Arial Unicode MS"/>
          <w:sz w:val="20"/>
          <w:szCs w:val="20"/>
        </w:rPr>
        <w:t>ლყოფის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ბენეფიტები</w:t>
      </w:r>
    </w:p>
    <w:p w14:paraId="292365A2" w14:textId="77777777" w:rsidR="00B11C1F" w:rsidRDefault="0027280F">
      <w:pPr>
        <w:tabs>
          <w:tab w:val="left" w:pos="4669"/>
        </w:tabs>
        <w:spacing w:before="130"/>
        <w:ind w:left="4666" w:hanging="340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პროცედურული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საკითხები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შიდასახელმწიფოებრივი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საშუალებების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ამოწურვა</w:t>
      </w:r>
    </w:p>
    <w:p w14:paraId="4DFEB225" w14:textId="77777777" w:rsidR="00B11C1F" w:rsidRDefault="0027280F">
      <w:pPr>
        <w:pBdr>
          <w:top w:val="nil"/>
          <w:left w:val="nil"/>
          <w:bottom w:val="nil"/>
          <w:right w:val="nil"/>
          <w:between w:val="nil"/>
        </w:pBdr>
        <w:tabs>
          <w:tab w:val="left" w:pos="4669"/>
        </w:tabs>
        <w:spacing w:before="130" w:line="249" w:lineRule="auto"/>
        <w:ind w:left="4669" w:right="1339" w:hanging="3404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არსებითი</w:t>
      </w: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>საკითხები</w:t>
      </w:r>
      <w:r>
        <w:rPr>
          <w:i/>
          <w:color w:val="000000"/>
          <w:sz w:val="20"/>
          <w:szCs w:val="20"/>
        </w:rPr>
        <w:t>:</w:t>
      </w:r>
      <w:r>
        <w:rPr>
          <w:i/>
          <w:color w:val="000000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ექსპლუატაციის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ძალადობისა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შეურაცხყოფისგან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თავისუფლება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პიროვნების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ღირსების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პრივატულობის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პატივისცემა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სერვისების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მიღების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რეაბილიტაციისა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სარეაბილიტაციო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მომსახურების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;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ადეკვატური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სტანდარტი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დაცვა</w:t>
      </w:r>
    </w:p>
    <w:p w14:paraId="3F051B6B" w14:textId="77777777" w:rsidR="00B11C1F" w:rsidRDefault="0027280F">
      <w:pPr>
        <w:pBdr>
          <w:top w:val="nil"/>
          <w:left w:val="nil"/>
          <w:bottom w:val="nil"/>
          <w:right w:val="nil"/>
          <w:between w:val="nil"/>
        </w:pBdr>
        <w:tabs>
          <w:tab w:val="left" w:pos="4669"/>
        </w:tabs>
        <w:spacing w:before="130" w:line="249" w:lineRule="auto"/>
        <w:ind w:left="4669" w:right="1339" w:hanging="3404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A64A9EE" wp14:editId="52D7B9A5">
                <wp:simplePos x="0" y="0"/>
                <wp:positionH relativeFrom="column">
                  <wp:posOffset>508000</wp:posOffset>
                </wp:positionH>
                <wp:positionV relativeFrom="paragraph">
                  <wp:posOffset>177800</wp:posOffset>
                </wp:positionV>
                <wp:extent cx="937260" cy="12700"/>
                <wp:effectExtent l="0" t="0" r="0" b="0"/>
                <wp:wrapTopAndBottom distT="0" dist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7370" y="3776825"/>
                          <a:ext cx="9372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0D1CD" w14:textId="77777777" w:rsidR="00B11C1F" w:rsidRDefault="00B11C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177800</wp:posOffset>
                </wp:positionV>
                <wp:extent cx="937260" cy="12700"/>
                <wp:effectExtent b="0" l="0" r="0" t="0"/>
                <wp:wrapTopAndBottom distB="0" dist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F9B9E1" w14:textId="77777777" w:rsidR="00B11C1F" w:rsidRDefault="0027280F">
      <w:pPr>
        <w:spacing w:before="58" w:line="225" w:lineRule="auto"/>
        <w:ind w:left="1052"/>
        <w:rPr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rFonts w:ascii="Arial Unicode MS" w:eastAsia="Arial Unicode MS" w:hAnsi="Arial Unicode MS" w:cs="Arial Unicode MS"/>
          <w:sz w:val="18"/>
          <w:szCs w:val="18"/>
        </w:rPr>
        <w:t>კომიტეტმა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მიიღო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21-</w:t>
      </w:r>
      <w:r>
        <w:rPr>
          <w:rFonts w:ascii="Arial Unicode MS" w:eastAsia="Arial Unicode MS" w:hAnsi="Arial Unicode MS" w:cs="Arial Unicode MS"/>
          <w:sz w:val="18"/>
          <w:szCs w:val="18"/>
        </w:rPr>
        <w:t>ე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სესიაზე</w:t>
      </w:r>
      <w:r>
        <w:rPr>
          <w:sz w:val="18"/>
          <w:szCs w:val="18"/>
        </w:rPr>
        <w:t xml:space="preserve"> (11 </w:t>
      </w:r>
      <w:r>
        <w:rPr>
          <w:rFonts w:ascii="Arial Unicode MS" w:eastAsia="Arial Unicode MS" w:hAnsi="Arial Unicode MS" w:cs="Arial Unicode MS"/>
          <w:sz w:val="18"/>
          <w:szCs w:val="18"/>
        </w:rPr>
        <w:t>მარტი</w:t>
      </w:r>
      <w:r>
        <w:rPr>
          <w:sz w:val="18"/>
          <w:szCs w:val="18"/>
        </w:rPr>
        <w:t xml:space="preserve">–5 </w:t>
      </w:r>
      <w:r>
        <w:rPr>
          <w:rFonts w:ascii="Arial Unicode MS" w:eastAsia="Arial Unicode MS" w:hAnsi="Arial Unicode MS" w:cs="Arial Unicode MS"/>
          <w:sz w:val="18"/>
          <w:szCs w:val="18"/>
        </w:rPr>
        <w:t>აპრილი</w:t>
      </w:r>
      <w:r>
        <w:rPr>
          <w:rFonts w:ascii="Arial Unicode MS" w:eastAsia="Arial Unicode MS" w:hAnsi="Arial Unicode MS" w:cs="Arial Unicode MS"/>
          <w:sz w:val="18"/>
          <w:szCs w:val="18"/>
        </w:rPr>
        <w:t>,</w:t>
      </w:r>
      <w:r>
        <w:rPr>
          <w:sz w:val="18"/>
          <w:szCs w:val="18"/>
        </w:rPr>
        <w:t xml:space="preserve"> 2019).</w:t>
      </w:r>
    </w:p>
    <w:p w14:paraId="245CB6B2" w14:textId="77777777" w:rsidR="00B11C1F" w:rsidRDefault="0027280F">
      <w:pPr>
        <w:spacing w:line="254" w:lineRule="auto"/>
        <w:ind w:left="1266" w:right="1300" w:hanging="312"/>
        <w:rPr>
          <w:sz w:val="18"/>
          <w:szCs w:val="18"/>
        </w:rPr>
      </w:pPr>
      <w:r>
        <w:rPr>
          <w:sz w:val="20"/>
          <w:szCs w:val="20"/>
        </w:rPr>
        <w:t xml:space="preserve">** </w:t>
      </w:r>
      <w:r>
        <w:rPr>
          <w:rFonts w:ascii="Arial Unicode MS" w:eastAsia="Arial Unicode MS" w:hAnsi="Arial Unicode MS" w:cs="Arial Unicode MS"/>
          <w:sz w:val="18"/>
          <w:szCs w:val="18"/>
        </w:rPr>
        <w:t>შეტყობინების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განხილვაში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კომიტეტის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შემდეგი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წევრები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მონაწილეობდნენ</w:t>
      </w:r>
      <w:r>
        <w:rPr>
          <w:sz w:val="18"/>
          <w:szCs w:val="18"/>
        </w:rPr>
        <w:t xml:space="preserve">: </w:t>
      </w:r>
      <w:r>
        <w:rPr>
          <w:rFonts w:ascii="Arial Unicode MS" w:eastAsia="Arial Unicode MS" w:hAnsi="Arial Unicode MS" w:cs="Arial Unicode MS"/>
          <w:sz w:val="18"/>
          <w:szCs w:val="18"/>
        </w:rPr>
        <w:t>მარტინ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მვესიგუა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ბაბუ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დანლამი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უმარუ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ბაშარუ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მონტიან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ბუნტანი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იმედ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ედი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ჩაკერი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მარა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კრისტინა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გაბრილი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ამალია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ევა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გამიო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რიოსი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ჯუნ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იშიკავა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სამუელ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ნჟუგუნა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კაბუე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როზმარი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კაიესი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ლასლო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გაბორ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ლოვასი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რობერტ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ჟორჟოვი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რობერტ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ჟორმიტ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ჟორჟოვი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რუსკუსი</w:t>
      </w:r>
      <w:r>
        <w:rPr>
          <w:sz w:val="18"/>
          <w:szCs w:val="18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</w:rPr>
        <w:t>მარკუს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შეფერი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და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რისნავატი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უტამი</w:t>
      </w:r>
      <w:r>
        <w:rPr>
          <w:sz w:val="18"/>
          <w:szCs w:val="18"/>
        </w:rPr>
        <w:t>.</w:t>
      </w:r>
    </w:p>
    <w:p w14:paraId="13D988DC" w14:textId="77777777" w:rsidR="00B11C1F" w:rsidRDefault="0027280F">
      <w:pPr>
        <w:pBdr>
          <w:top w:val="nil"/>
          <w:left w:val="nil"/>
          <w:bottom w:val="nil"/>
          <w:right w:val="nil"/>
          <w:between w:val="nil"/>
        </w:pBdr>
        <w:spacing w:before="163"/>
        <w:ind w:left="1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GE.19-08201(E)</w:t>
      </w:r>
    </w:p>
    <w:p w14:paraId="1B640A42" w14:textId="77777777" w:rsidR="00B11C1F" w:rsidRDefault="00B11C1F"/>
    <w:p w14:paraId="67EA5181" w14:textId="77777777" w:rsidR="00B11C1F" w:rsidRDefault="00B11C1F"/>
    <w:p w14:paraId="23459F4D" w14:textId="77777777" w:rsidR="00B11C1F" w:rsidRDefault="00B11C1F"/>
    <w:p w14:paraId="40FD13DB" w14:textId="77777777" w:rsidR="00B11C1F" w:rsidRDefault="00B11C1F"/>
    <w:p w14:paraId="47EF8BF4" w14:textId="77777777" w:rsidR="00B11C1F" w:rsidRDefault="0027280F">
      <w:pPr>
        <w:tabs>
          <w:tab w:val="left" w:pos="4669"/>
        </w:tabs>
        <w:spacing w:before="125"/>
        <w:ind w:left="12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კონვენციის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მუხლები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1, 3, 16, 17, 22, 25, 26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sz w:val="20"/>
          <w:szCs w:val="20"/>
        </w:rPr>
        <w:t xml:space="preserve"> 28</w:t>
      </w:r>
    </w:p>
    <w:p w14:paraId="4BD8EFD9" w14:textId="77777777" w:rsidR="00B11C1F" w:rsidRDefault="0027280F">
      <w:pPr>
        <w:tabs>
          <w:tab w:val="left" w:pos="4669"/>
        </w:tabs>
        <w:spacing w:before="130"/>
        <w:ind w:left="12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მუხლები</w:t>
      </w:r>
      <w:r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2 (d)</w:t>
      </w:r>
    </w:p>
    <w:p w14:paraId="5C763A5C" w14:textId="77777777" w:rsidR="00B11C1F" w:rsidRDefault="00B11C1F"/>
    <w:p w14:paraId="3EA9D628" w14:textId="77777777" w:rsidR="00B11C1F" w:rsidRDefault="00B11C1F"/>
    <w:p w14:paraId="1489843E" w14:textId="77777777" w:rsidR="00B11C1F" w:rsidRDefault="002728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30" w:line="249" w:lineRule="auto"/>
        <w:ind w:right="1244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ტ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საბერძნეთის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მოქალაქე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დაბადებული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1973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იგი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1, 3, 16 </w:t>
      </w:r>
      <w:r>
        <w:rPr>
          <w:color w:val="000000"/>
          <w:sz w:val="20"/>
          <w:szCs w:val="20"/>
        </w:rPr>
        <w:t xml:space="preserve">17, 22, 25, 26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28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მეუღლე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ხარეში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ძალაში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შევიდა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2012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30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ივნისს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7AA2EB7A" w14:textId="77777777" w:rsidR="00B11C1F" w:rsidRDefault="002728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3" w:line="249" w:lineRule="auto"/>
        <w:ind w:right="1243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30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ნოემბერს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რეგლამენტის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70 (8)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წესის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ახალი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შეტყობინებებისა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დროებითი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ზომების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სპეციალურმა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მომხსენებელმა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მოქმედებდა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გადაწყვიტა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განხილულიყო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არსებითი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მხარეებისგან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დამოუკიდებლად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5730A6EC" w14:textId="77777777" w:rsidR="00B11C1F" w:rsidRDefault="00B11C1F">
      <w:pPr>
        <w:tabs>
          <w:tab w:val="left" w:pos="1835"/>
        </w:tabs>
        <w:spacing w:before="123" w:line="249" w:lineRule="auto"/>
        <w:rPr>
          <w:rFonts w:ascii="Merriweather" w:eastAsia="Merriweather" w:hAnsi="Merriweather" w:cs="Merriweather"/>
          <w:sz w:val="20"/>
          <w:szCs w:val="20"/>
        </w:rPr>
      </w:pPr>
    </w:p>
    <w:p w14:paraId="00809277" w14:textId="77777777" w:rsidR="00B11C1F" w:rsidRDefault="0027280F">
      <w:pPr>
        <w:pStyle w:val="Heading1"/>
        <w:numPr>
          <w:ilvl w:val="0"/>
          <w:numId w:val="3"/>
        </w:numPr>
        <w:tabs>
          <w:tab w:val="left" w:pos="1265"/>
          <w:tab w:val="left" w:pos="1266"/>
        </w:tabs>
        <w:spacing w:before="90"/>
      </w:pPr>
      <w:r>
        <w:rPr>
          <w:rFonts w:ascii="Arial Unicode MS" w:eastAsia="Arial Unicode MS" w:hAnsi="Arial Unicode MS" w:cs="Arial Unicode MS"/>
        </w:rPr>
        <w:t>მხარეების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მიერ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წარმოდგენილი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ინფორმაციისა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არგუმენტების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შეჯამება</w:t>
      </w:r>
    </w:p>
    <w:p w14:paraId="5F7F93D4" w14:textId="77777777" w:rsidR="00B11C1F" w:rsidRDefault="0027280F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right" w:pos="851"/>
        </w:tabs>
        <w:spacing w:before="240" w:after="120"/>
        <w:ind w:right="1134"/>
        <w:rPr>
          <w:rFonts w:ascii="Merriweather" w:eastAsia="Merriweather" w:hAnsi="Merriweather" w:cs="Merriweather"/>
          <w:b/>
          <w:color w:val="000000"/>
          <w:sz w:val="20"/>
          <w:szCs w:val="20"/>
        </w:rPr>
        <w:sectPr w:rsidR="00B11C1F">
          <w:footerReference w:type="default" r:id="rId12"/>
          <w:pgSz w:w="11910" w:h="16850"/>
          <w:pgMar w:top="660" w:right="1020" w:bottom="1020" w:left="1000" w:header="720" w:footer="836" w:gutter="0"/>
          <w:pgNumType w:start="1"/>
          <w:cols w:space="720"/>
        </w:sect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ab/>
        <w:t xml:space="preserve">                        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ავტორის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მიერ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წარმოდგენილი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ფაქტობრივი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გარემოებები</w:t>
      </w:r>
    </w:p>
    <w:p w14:paraId="3C57197D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5"/>
          <w:szCs w:val="15"/>
        </w:rPr>
      </w:pPr>
    </w:p>
    <w:p w14:paraId="74799DCF" w14:textId="12DFA7EE" w:rsidR="00B11C1F" w:rsidRDefault="002728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30" w:line="249" w:lineRule="auto"/>
        <w:ind w:right="1243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ასპერგერის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სინდრომი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დაუსვეს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იანვარში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იდენტიფიცირდება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აუტიზმის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ძირითად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მახასიათებლებთან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როგორებიცაა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ურთიერთობების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სირთულე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სწავლის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არასტანდარტული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გზები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კონკრეტული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საგნისადმი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ინტერესი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რუტინის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მიდრეკილება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ტიპური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კომუნიკაციის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გამოწვევები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დაამთავრა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საბერძნეთის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პოლიტექნიკური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უნივერსიტეტი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ბაკალავრის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ხარისხი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ხელოვნებაში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2004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იგი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საბერძნეთის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სატყეო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სამსახურში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მეცნიერად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მიიღეს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მაგრამ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2007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სამსახურიდან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წამოვიდა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პრობლემები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ჰქონდა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კომუნიკაციისა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თანამშრომლობის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კუთხით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სამსახურიდან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წამოსვლის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მუშაობდა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მხატ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 w:rsidR="00A5498F">
        <w:rPr>
          <w:rFonts w:ascii="Arial Unicode MS" w:eastAsia="Arial Unicode MS" w:hAnsi="Arial Unicode MS" w:cs="Arial Unicode MS"/>
          <w:color w:val="000000"/>
          <w:sz w:val="20"/>
          <w:szCs w:val="20"/>
        </w:rPr>
        <w:t>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78A80063" w14:textId="77777777" w:rsidR="00B11C1F" w:rsidRDefault="00B11C1F">
      <w:pPr>
        <w:tabs>
          <w:tab w:val="left" w:pos="1835"/>
        </w:tabs>
        <w:spacing w:line="249" w:lineRule="auto"/>
        <w:ind w:left="1266"/>
        <w:rPr>
          <w:sz w:val="20"/>
          <w:szCs w:val="20"/>
        </w:rPr>
      </w:pPr>
    </w:p>
    <w:p w14:paraId="6023CF46" w14:textId="4294EB57" w:rsidR="00B11C1F" w:rsidRDefault="002728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7" w:line="249" w:lineRule="auto"/>
        <w:ind w:right="1243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13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მაისს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იანვარში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ასპერგერის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სინდრომის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დადგენის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მიმართა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სერტიფიცირების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ცენტრს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(KEPA)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სერტიფიკატისთვის</w:t>
      </w:r>
      <w:r>
        <w:rPr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KEPA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ქვეშ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მოქმედებს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შრომის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დაზღვევისა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სოლიდარობის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სამინისტრო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უწევს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ზედამხედველობას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მოვალეობები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მოიცავს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მიმართულებებს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: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პენსიის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მოთხოვნის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ცენტის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განსაზღვრას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;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მქონე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ინდივ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იდებისთვის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დახასიათება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სტატუსის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აღიარება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;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პროცენტულობის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განსაზღვრა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იქ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ითხოვენ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კეთილდღეობის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იმისათვის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მიიღოს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ბენეფიტი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მქონე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ესაჭიროება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სერტიფიკატი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მინიმუმ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67%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მაჩვენებელით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ბერძნული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კანონმდებლობის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თანახმა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ასპერგერის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სინდრომი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მიჩნეულია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როგორც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შეუქცე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სიცოცხლის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ბოლომდე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თანმდევ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შესაძლებლობად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მაჩვენებელიც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67-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დან</w:t>
      </w:r>
      <w:r>
        <w:rPr>
          <w:color w:val="000000"/>
          <w:sz w:val="20"/>
          <w:szCs w:val="20"/>
        </w:rPr>
        <w:t xml:space="preserve"> 80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პროცენტამდეა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58D38D44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130"/>
        <w:ind w:left="1266" w:right="1243"/>
        <w:jc w:val="both"/>
        <w:rPr>
          <w:color w:val="000000"/>
          <w:sz w:val="20"/>
          <w:szCs w:val="20"/>
        </w:rPr>
      </w:pPr>
    </w:p>
    <w:p w14:paraId="46DF4591" w14:textId="5188F6C3" w:rsidR="00B11C1F" w:rsidRDefault="002728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4" w:line="249" w:lineRule="auto"/>
        <w:ind w:right="1241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color w:val="000000"/>
          <w:sz w:val="20"/>
          <w:szCs w:val="20"/>
        </w:rPr>
        <w:t xml:space="preserve"> 22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ივლისს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color w:val="000000"/>
          <w:sz w:val="20"/>
          <w:szCs w:val="20"/>
        </w:rPr>
        <w:t xml:space="preserve"> 22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აგვისტოს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გაესაუბრა</w:t>
      </w:r>
      <w:r>
        <w:rPr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კომიტეტმა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დაამახინჯა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დაუსვა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მძიმე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მოსაზღვრე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პიროვნული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აშლილობა</w:t>
      </w:r>
      <w:r>
        <w:rPr>
          <w:color w:val="000000"/>
          <w:sz w:val="20"/>
          <w:szCs w:val="20"/>
        </w:rPr>
        <w:t xml:space="preserve">, 50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პროცენტი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მაჩვენებლით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თუმცა</w:t>
      </w:r>
      <w:r>
        <w:rPr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ნტ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გაითვალისწინეს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ექიმის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იანვარში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დადგენილ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ი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ასპერგერის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სინდრომის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სამედიცინო</w:t>
      </w:r>
      <w:r>
        <w:rPr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</w:t>
      </w:r>
      <w:r w:rsidR="00230EAC">
        <w:rPr>
          <w:rFonts w:ascii="Arial Unicode MS" w:eastAsia="Arial Unicode MS" w:hAnsi="Arial Unicode MS" w:cs="Arial Unicode MS"/>
          <w:color w:val="000000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</w:p>
    <w:p w14:paraId="7E7C99AC" w14:textId="54231E75" w:rsidR="00B11C1F" w:rsidRDefault="0027280F">
      <w:pPr>
        <w:tabs>
          <w:tab w:val="left" w:pos="1835"/>
        </w:tabs>
        <w:spacing w:before="124" w:line="249" w:lineRule="auto"/>
        <w:ind w:left="1266" w:right="1241"/>
        <w:rPr>
          <w:rFonts w:ascii="Merriweather" w:eastAsia="Merriweather" w:hAnsi="Merriweather" w:cs="Merriweather"/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rFonts w:ascii="Arial Unicode MS" w:eastAsia="Arial Unicode MS" w:hAnsi="Arial Unicode MS" w:cs="Arial Unicode MS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რეგრესის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სახელმწიფოში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ეფექტურ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საშუალებებზე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წარუდგინა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წერილობითი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საჩივარი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2015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22 </w:t>
      </w:r>
      <w:r>
        <w:rPr>
          <w:rFonts w:ascii="Arial Unicode MS" w:eastAsia="Arial Unicode MS" w:hAnsi="Arial Unicode MS" w:cs="Arial Unicode MS"/>
          <w:sz w:val="20"/>
          <w:szCs w:val="20"/>
        </w:rPr>
        <w:t>აგვისტოს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დასკვნებზე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მაგრამ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პასუხი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მიუღი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კომიტეტისგან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ხარისხის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საჩივარზე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გადაწყვეტილების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გარეშე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გაასაჩივრებს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პირვ</w:t>
      </w:r>
      <w:r>
        <w:rPr>
          <w:rFonts w:ascii="Arial Unicode MS" w:eastAsia="Arial Unicode MS" w:hAnsi="Arial Unicode MS" w:cs="Arial Unicode MS"/>
          <w:sz w:val="20"/>
          <w:szCs w:val="20"/>
        </w:rPr>
        <w:t>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ინსტანციის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სასამართლოში</w:t>
      </w:r>
      <w:r w:rsidR="00230EAC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გადაწყვეტილებას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აცხადებს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ვალდებულია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გადაწყვიტოს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საქმეები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</w:t>
      </w:r>
      <w:r w:rsidR="00230EAC">
        <w:rPr>
          <w:rFonts w:ascii="Arial Unicode MS" w:eastAsia="Arial Unicode MS" w:hAnsi="Arial Unicode MS" w:cs="Arial Unicode MS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sz w:val="20"/>
          <w:szCs w:val="20"/>
        </w:rPr>
        <w:t>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</w:t>
      </w:r>
      <w:r w:rsidR="00230EAC">
        <w:rPr>
          <w:rFonts w:ascii="Arial Unicode MS" w:eastAsia="Arial Unicode MS" w:hAnsi="Arial Unicode MS" w:cs="Arial Unicode MS"/>
          <w:sz w:val="20"/>
          <w:szCs w:val="20"/>
        </w:rPr>
        <w:t>ნ</w:t>
      </w:r>
      <w:r>
        <w:rPr>
          <w:rFonts w:ascii="Arial Unicode MS" w:eastAsia="Arial Unicode MS" w:hAnsi="Arial Unicode MS" w:cs="Arial Unicode MS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გადაწყვეტილების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საფუძველზე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ნიშნავს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შეძლო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საქმეში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შეცდომების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გამოსწორება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შეეძლო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სწო</w:t>
      </w:r>
      <w:r>
        <w:rPr>
          <w:rFonts w:ascii="Arial Unicode MS" w:eastAsia="Arial Unicode MS" w:hAnsi="Arial Unicode MS" w:cs="Arial Unicode MS"/>
          <w:sz w:val="20"/>
          <w:szCs w:val="20"/>
        </w:rPr>
        <w:t>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სერტიფიკატის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გაცემა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შეძლო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მიეღო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მხოლოდ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დონეზე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ამიტომ</w:t>
      </w:r>
      <w:r w:rsidR="00230EAC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მოითხოვა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საქმეში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სპეციალური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სამეცნიერო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sz w:val="20"/>
          <w:szCs w:val="20"/>
        </w:rPr>
        <w:t>სამაგალითო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აუდიტისთვის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გადამისამართება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მოითხოვა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ადმინისტრაციულმა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საბჭომ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განიხილოს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შეიტანა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საჩივარი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ზედამხედველ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დირექტორთან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ადვოკატთანაც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მიუღია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პასუხი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არცერთი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უწყებისგან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დაუკავშირდა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2016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4 </w:t>
      </w:r>
      <w:r>
        <w:rPr>
          <w:rFonts w:ascii="Arial Unicode MS" w:eastAsia="Arial Unicode MS" w:hAnsi="Arial Unicode MS" w:cs="Arial Unicode MS"/>
          <w:sz w:val="20"/>
          <w:szCs w:val="20"/>
        </w:rPr>
        <w:t>ოქტომბერს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წარადგინა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საჩივარი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პროკურატურაში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რიგის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წინააღმდეგ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გადაცემული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პროკურორისთვის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აცნობეს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შესაძლოა</w:t>
      </w:r>
      <w:r w:rsidR="00230EAC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შემდეგი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განმავლობაშიც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იგი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მიმდინარე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სტატისტიკის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მიხედვით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საჩივარი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შესაძლოა</w:t>
      </w:r>
      <w:r w:rsidR="00230EAC"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ექვს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წლამდე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უფრო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მეტხანსაც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გაიწელოს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თქმით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სასამართლოში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გასაჩივრების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ამჟამად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შეუძლია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პროცესი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ზედმეტად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გაჭიანურდება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რადგან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სტატისტიკით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გადასაწყვეტად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საშუა</w:t>
      </w:r>
      <w:r>
        <w:rPr>
          <w:rFonts w:ascii="Arial Unicode MS" w:eastAsia="Arial Unicode MS" w:hAnsi="Arial Unicode MS" w:cs="Arial Unicode MS"/>
          <w:sz w:val="20"/>
          <w:szCs w:val="20"/>
        </w:rPr>
        <w:t>ლოდ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შვიდი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სჭირდება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14:paraId="0D205F10" w14:textId="77777777" w:rsidR="00B11C1F" w:rsidRDefault="00B11C1F">
      <w:pPr>
        <w:tabs>
          <w:tab w:val="left" w:pos="1835"/>
        </w:tabs>
        <w:spacing w:before="124" w:line="249" w:lineRule="auto"/>
        <w:ind w:left="1266" w:right="1241"/>
        <w:rPr>
          <w:sz w:val="20"/>
          <w:szCs w:val="20"/>
        </w:rPr>
      </w:pPr>
    </w:p>
    <w:p w14:paraId="2DEB9ACB" w14:textId="77777777" w:rsidR="00B11C1F" w:rsidRDefault="0027280F">
      <w:pPr>
        <w:pStyle w:val="Heading2"/>
        <w:ind w:left="546" w:firstLine="720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საჩივარი</w:t>
      </w:r>
    </w:p>
    <w:p w14:paraId="429E1724" w14:textId="75830E7A" w:rsidR="00B11C1F" w:rsidRDefault="0027280F">
      <w:pPr>
        <w:pBdr>
          <w:top w:val="nil"/>
          <w:left w:val="nil"/>
          <w:bottom w:val="nil"/>
          <w:right w:val="nil"/>
          <w:between w:val="nil"/>
        </w:pBdr>
        <w:spacing w:before="91" w:line="249" w:lineRule="auto"/>
        <w:ind w:left="1266" w:right="1246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ფაქტი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სერტიფიკატზე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 w:rsidR="00D52C78">
        <w:rPr>
          <w:rFonts w:ascii="Arial Unicode MS" w:eastAsia="Arial Unicode MS" w:hAnsi="Arial Unicode MS" w:cs="Arial Unicode MS"/>
          <w:color w:val="000000"/>
          <w:sz w:val="20"/>
          <w:szCs w:val="20"/>
        </w:rPr>
        <w:t>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სვეს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მოსაზღვრე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პიროვნული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აშლილობა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ასპერგერის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სინდრომი</w:t>
      </w:r>
      <w:r w:rsidR="00D52C78">
        <w:rPr>
          <w:rFonts w:ascii="Arial Unicode MS" w:eastAsia="Arial Unicode MS" w:hAnsi="Arial Unicode MS" w:cs="Arial Unicode MS"/>
          <w:color w:val="000000"/>
          <w:sz w:val="20"/>
          <w:szCs w:val="20"/>
        </w:rPr>
        <w:t>, 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-3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საფუძველზე</w:t>
      </w:r>
      <w:r w:rsidR="00D52C78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დარღვევას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D52C78">
        <w:rPr>
          <w:rFonts w:ascii="Arial Unicode MS" w:eastAsia="Arial Unicode MS" w:hAnsi="Arial Unicode MS" w:cs="Arial Unicode MS"/>
          <w:color w:val="000000"/>
          <w:sz w:val="20"/>
          <w:szCs w:val="20"/>
        </w:rPr>
        <w:t>ნიშნავს</w:t>
      </w:r>
      <w:r w:rsidR="00D52C7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უშლიდა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თანასწორ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სრულ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მონაწილეობას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საზოგადოებრივ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ცხოვრებაში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სერტიფიკატზე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არასწორად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აღნიშვნით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16(1), (4)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(5)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არანაირი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ზომა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მიიღო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სერტიფიცირების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პროცესში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არასწორი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ჩანაწერის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შესასწორებლად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ყველაფრის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შედეგა</w:t>
      </w:r>
      <w:r w:rsidR="00D52C78">
        <w:rPr>
          <w:rFonts w:ascii="Arial Unicode MS" w:eastAsia="Arial Unicode MS" w:hAnsi="Arial Unicode MS" w:cs="Arial Unicode MS"/>
          <w:color w:val="000000"/>
          <w:sz w:val="20"/>
          <w:szCs w:val="20"/>
        </w:rPr>
        <w:t>დ,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ფსიქოლოგიური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ზიანი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მიადგა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</w:p>
    <w:p w14:paraId="45EA9F29" w14:textId="1F599F52" w:rsidR="00B11C1F" w:rsidRDefault="00272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2" w:line="249" w:lineRule="auto"/>
        <w:ind w:right="1246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შეეხება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კონცენციის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დაყრნობით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წარდგენილ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საჩივარს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ოფიციალური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უწყებების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ქმედებები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შეურაცხყოფდა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პიროვნებასა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კეთილსინდისიერებას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54E8D4FD" w14:textId="77777777" w:rsidR="00B11C1F" w:rsidRDefault="00272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3" w:line="249" w:lineRule="auto"/>
        <w:ind w:right="1241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22-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მუხლითაც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დაირღვა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რადგან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დოკუმენტებში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მოცემული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ჯანმრთელობის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ინფორმაციასთან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კონფიდენციალობის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ბაზა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საგადასახადო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შემოსავლების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სამსახურთან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სერტიფიცირებული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ინფორმაცია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მიღმა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ხელმისაწვდომია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ათასობით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ადამიანისთვის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033FD9BC" w14:textId="60213F92" w:rsidR="00B11C1F" w:rsidRDefault="00272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5"/>
        <w:ind w:left="1276" w:right="1243" w:hanging="10"/>
        <w:jc w:val="both"/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25-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დაარღვია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რადგამ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არასწორი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დაუსვეს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დაირღვა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კონცენციის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26-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(1)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(2)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მიხედვითაც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რამდენადაც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ორგანოები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გულგრილები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იყვნენ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ეღიარებინათ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მქონე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მიეცათ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მოეპოვებინა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შეენარჩუნებინა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სრული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პროფესიული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უნარები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მიეღო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საზოგადოებრივი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ყველა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ასპექტში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4390C362" w14:textId="1B11CE42" w:rsidR="00B11C1F" w:rsidRDefault="00272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4" w:line="249" w:lineRule="auto"/>
        <w:ind w:right="1243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აუტისტური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სერტიფიკატზე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თქმით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შეუშალა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მიეღო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კონვენციის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28-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(1)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(2)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ხელმისაწოვდომობის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არარსებობამ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გააუარესა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ცხოვრების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დონე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გამოიყენება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მიზნით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რათა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ამ პროცესმა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შეუშალოს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გაწელოს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მქონე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პირთა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ნაწილის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ბენეფიტებზე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ხელმისაწვდომობა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ამისთვის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ეუბნება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სერტიფიცირებაზე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გზას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უხსნ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დაზოგოს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კეთილდღეობის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ხარჯები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23A46863" w14:textId="77777777" w:rsidR="00B11C1F" w:rsidRDefault="002728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6" w:line="249" w:lineRule="auto"/>
        <w:ind w:right="1242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ბოლოს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დაირღვა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კონცენციის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30-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(2)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ნიჭიერი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მხატვარია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მიიღეს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სახვითი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ხელოვნების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სკოლაში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უნივერსიტეტს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წარმოადგენს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განსხვავებულობის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გახ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დისკრიმინაციის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მსხვერპლი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იძულებული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დაეტოვებინა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სკოლა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სირთულეების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ჰქონდა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სკოლის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მასწავლებლებთან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75456A04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14:paraId="0301034F" w14:textId="77777777" w:rsidR="00B11C1F" w:rsidRDefault="0027280F">
      <w:pPr>
        <w:pStyle w:val="Heading2"/>
        <w:tabs>
          <w:tab w:val="left" w:pos="8647"/>
        </w:tabs>
        <w:ind w:right="1243" w:firstLine="1266"/>
        <w:jc w:val="both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სახელმწიფო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დაკვირვებები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შეტყობინების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დასაშვებობასთან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დაკავშირებით</w:t>
      </w:r>
    </w:p>
    <w:p w14:paraId="58E897E2" w14:textId="77777777" w:rsidR="00B11C1F" w:rsidRDefault="0027280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30" w:line="249" w:lineRule="auto"/>
        <w:ind w:right="1244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სექტემბრით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დათარიღებულ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შენიშვნებში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ჩაითვალოს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-2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ქვეპუნქტის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6E179D0E" w14:textId="696E1787" w:rsidR="00B11C1F" w:rsidRDefault="0027280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3" w:line="249" w:lineRule="auto"/>
        <w:ind w:right="1240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ცენტრები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შეიქმნა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ჯანმრთელობის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ერთიანი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მიზნით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რათა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განესაზღვრა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სხვადასხვა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სადაღვევო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ორგანოში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დაზღვეული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ხარისხი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დაკომპლექტებ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სერტიფიცირებული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ექიმებისგან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სპეციალურად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მომზადებული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განმცხადებლის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დროს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ვალდებულია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გაითვალისწინოს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განმცხადებლის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ყველა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მონაცემი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განმცხადებლის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კლინიკური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მდგომარეობა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განმცხადებელი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ეთანხმება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კომპიტეტის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შეუძლია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აპელაცია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შეიტანოს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დაამტკიცოს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შეცვალოს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განმცხადებელი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ეთანხმება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ხარისხის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საპროცესო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კოდექსის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საფუძველზე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შეიტანოს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1AF11EC5" w14:textId="1F5D8240" w:rsidR="00B11C1F" w:rsidRDefault="0027280F" w:rsidP="00535D80">
      <w:p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3" w:line="249" w:lineRule="auto"/>
        <w:ind w:left="1266" w:right="1240"/>
        <w:jc w:val="both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ტ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შეიტანა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განცხადება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სერტიფიცირების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13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მაისს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გამოიკვლიეს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სპეციალიზებული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ფსიქიატრების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დაუსვეს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მძიმე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პიროვნული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აშლ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ლობა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ქცევითი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დარღვევების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თანხლებით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ძლიერად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ლიმიტირებული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ფუნქციონირების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“.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ზოგადი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საერთო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მაჩვენებლი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ერთ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13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მაისიდან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41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მაისამდე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ქ</w:t>
      </w:r>
      <w:r w:rsidR="00535D80"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ირებული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ვადით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50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პროცენტი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გაასაჩივრა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რადგან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ეთანხმებოდა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მაჩვენ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ებლის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ორჯერ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2016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ოქტომბერს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დეკემბერს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მიიწვიეს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წინაშე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დაგეგმილ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შეხვედრაზე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დასასწრებად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თუმცა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წერილობით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აცნობა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შეხვედრას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დაესწრებოდა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მესამედაც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მიიწვიეს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შეხვედრაზე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9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თე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სადაც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წარსდგა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ხარისხის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წინაშე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დაადას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ტ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სწ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ვინაობა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დატოვა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შეხვედრა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თქვა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ექსპერტიზაზე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ამიტომ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ჯანმრთელობის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საბოლოოდ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დასრულდა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მიზეზით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შეუძლებელი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ხელახალი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გამოკვლევა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2F3628A2" w14:textId="615A94AF" w:rsidR="00B11C1F" w:rsidRDefault="0027280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4" w:line="249" w:lineRule="auto"/>
        <w:ind w:right="1242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სამედიცინო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გაუვიდა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31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მაისს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შეუტანია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ახალი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განცხადება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ჯანმრთელობის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სერტიფიკატისთვის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სამაგიერო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მეუღლემ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საჩივარი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შეიტანეს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ათენის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ინსტანციის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პროკურატურაში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წევრების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ამჟამად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განხილვის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პროცესშია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4BC1AA1D" w14:textId="2C100276" w:rsidR="00B11C1F" w:rsidRDefault="0027280F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5" w:line="249" w:lineRule="auto"/>
        <w:ind w:right="1243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დაემორჩილა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პროცედურებს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ხარისხის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განხილვის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გაასაჩივრა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რაიმე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პოტენციური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უარყოფითი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სასამართლოებში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გაუკეთებია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არცერთ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ორგანოში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ბენეფიტებთან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საჩივარი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წევრების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წინააღმდეგ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მოვალეობი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დარღვევის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გამოიწვევს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აღდგენას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მიგვიყვანს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დასკვნამდე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დასაშვებობის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მოთხოვნა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დადასტურდეს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შეეხება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მტკიცებას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ნებისმიერი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სამართალწარმოება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ზედმეტად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ჭიანურდება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პრეტენზიები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კუთხით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ზოგადი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ბუნდოვანია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სუბ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ქ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ეჭვი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შიდასამართლერივი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ეფექტურობასთან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ამოწურვის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მოვალეობისგან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ათავისუფლებს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5FA7FD84" w14:textId="77777777" w:rsidR="00B11C1F" w:rsidRDefault="00B11C1F" w:rsidP="00F63C3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4AB588C5" w14:textId="61FCF3A5" w:rsidR="00B11C1F" w:rsidRDefault="0027280F" w:rsidP="00F63C37">
      <w:pPr>
        <w:pStyle w:val="Heading2"/>
        <w:tabs>
          <w:tab w:val="left" w:pos="8647"/>
        </w:tabs>
        <w:ind w:right="1243"/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ავტორის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შენიშნვები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სახელმწიფო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მხარის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დაკვირვებების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შესახებ</w:t>
      </w:r>
      <w:r w:rsidR="00F63C37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შეტყობინების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დასაშვებობასთან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დაკავშირებით</w:t>
      </w:r>
    </w:p>
    <w:p w14:paraId="314CC2E9" w14:textId="77777777" w:rsidR="00B11C1F" w:rsidRDefault="00B11C1F">
      <w:pPr>
        <w:pStyle w:val="Heading2"/>
        <w:spacing w:before="1"/>
        <w:ind w:firstLine="1266"/>
        <w:jc w:val="both"/>
      </w:pPr>
    </w:p>
    <w:p w14:paraId="68DE3A36" w14:textId="714063DD" w:rsidR="00B11C1F" w:rsidRDefault="0027280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30" w:line="249" w:lineRule="auto"/>
        <w:ind w:right="1242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18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ოქტომბერს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წარმოადგინა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თავის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კომენტარები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შენიშვნებზე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ებობასთან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კომუნიკაცია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დასაშვებია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ეთანხმება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აღწერილ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ინფორმაციას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აცხადებს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გაასაჩივრა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ეთანხმებდა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შეფასების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მაჩვენებელ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არამედ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ფაქტრს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არასწორი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გასცა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306C1417" w14:textId="022AFADB" w:rsidR="00B11C1F" w:rsidRDefault="0027280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5" w:line="249" w:lineRule="auto"/>
        <w:ind w:right="1244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შეეხება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მოთხოვნას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გამოსულიყო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სისტემაში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შიშობდა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ხაფანგი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კიდევ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ერთხელ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 w:rsidR="00F63C37"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აადასტურებდა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არასწორ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მოითუთებს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საბჭოს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იუ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ხედავად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რომელ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იც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ეხებოდა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შესაძლებლობის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ბენეფიტებს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აღიძრა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2003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წელს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დასრულდა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ათენის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ინსტანციის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2017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15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მაისს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შეიტანა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სარჩელი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KEPA-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წინააღმდეგ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პიროვნების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შეურაცხყოფისთვის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ამტკიცებდა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ხორციელდებოდა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ფსიქოლოგიური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ძალადობა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შეურაცხყოფა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ბულინგი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მოხალისეების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მხრიდან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აღნიშნავს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განაჩენის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გამოტანას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ხუთიდან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შვიდ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წელი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წ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ელოდება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3D4B9477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14:paraId="178B7878" w14:textId="77777777" w:rsidR="00B11C1F" w:rsidRDefault="0027280F">
      <w:pPr>
        <w:pStyle w:val="Heading1"/>
        <w:numPr>
          <w:ilvl w:val="0"/>
          <w:numId w:val="3"/>
        </w:numPr>
        <w:tabs>
          <w:tab w:val="left" w:pos="1265"/>
          <w:tab w:val="left" w:pos="1266"/>
        </w:tabs>
        <w:ind w:right="1101" w:hanging="502"/>
      </w:pPr>
      <w:r>
        <w:rPr>
          <w:rFonts w:ascii="Arial Unicode MS" w:eastAsia="Arial Unicode MS" w:hAnsi="Arial Unicode MS" w:cs="Arial Unicode MS"/>
        </w:rPr>
        <w:t>კომიტეტის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მოსაზრებები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საქ</w:t>
      </w:r>
      <w:r>
        <w:rPr>
          <w:rFonts w:ascii="Arial Unicode MS" w:eastAsia="Arial Unicode MS" w:hAnsi="Arial Unicode MS" w:cs="Arial Unicode MS"/>
        </w:rPr>
        <w:t>მის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დასაშვებობასთან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დაკავშირებით</w:t>
      </w:r>
    </w:p>
    <w:p w14:paraId="5C9941E6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1"/>
          <w:szCs w:val="21"/>
        </w:rPr>
      </w:pPr>
    </w:p>
    <w:p w14:paraId="7E81F822" w14:textId="098EE223" w:rsidR="00B11C1F" w:rsidRDefault="002728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line="249" w:lineRule="auto"/>
        <w:ind w:right="1243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კომუნიკაციაში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მოცე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პრეტენზიების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განხილვამდე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გადაწყვიტოს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-2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პროცედურული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წესების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65-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წესის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შესაბამისად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დასაშვებია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შეტყობინება</w:t>
      </w:r>
      <w:r>
        <w:rPr>
          <w:color w:val="000000"/>
          <w:sz w:val="20"/>
          <w:szCs w:val="20"/>
        </w:rPr>
        <w:t>.</w:t>
      </w:r>
    </w:p>
    <w:p w14:paraId="5B19198D" w14:textId="2E36ACED" w:rsidR="00B11C1F" w:rsidRDefault="002728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3" w:line="249" w:lineRule="auto"/>
        <w:ind w:right="1243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-2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დაადგინა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იგივე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საკითხი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მანამდე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იყო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განხილული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განიხილება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საერთაშორისო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გამოძიების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</w:p>
    <w:p w14:paraId="6CF610F5" w14:textId="0FF7E36E" w:rsidR="00B11C1F" w:rsidRDefault="002728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2" w:line="249" w:lineRule="auto"/>
        <w:ind w:right="1242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არგუმენტს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დაუშვებლად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ჩაითვალო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-2 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შიდასახელმწიფოებრივი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არამოწურვის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მოტივით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რადგან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ვერ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შეასრულა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მოქმედი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პროცედურები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გადაემოწმებინა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მიტომ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გაასაჩივრა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რაიმე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პოტენციური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უარყოფითი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ითვალისწინებ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პრეტენზიებს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შემთხვევაში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ყოფილა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ეფექტური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მტკიცება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ეშინოდა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წინაშე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გამოცხადების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რადგან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ფიქრობდა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დაადასტურებდა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პირ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არასწორ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დიაგნოზს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</w:p>
    <w:p w14:paraId="36F585EF" w14:textId="64429682" w:rsidR="00B11C1F" w:rsidRDefault="002728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2" w:line="249" w:lineRule="auto"/>
        <w:ind w:right="1242" w:firstLine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იხსენებს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იურისპუდენციას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მიუხედა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ვ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იმისა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არსებობს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ლდებულება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ამოიწუროს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სამართლებრივი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შიდასახელმწიფოებრივი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აქვთ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წარმატების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გონივრული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პერსპექტივა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კომუნიკაციის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ავტორებმა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ყველა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გზით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სცადონ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მათთვის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ხელმისაწვდომი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მოძიება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ეჭვები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ვარაუდები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ეფექტურობის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ათავისუფლებს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ამოწურვის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ვალდებულებისგან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მოცემულ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მეორე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რანგის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საჩივართან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პროცედურებზე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თქმით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რაიმე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უარყოფითი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ეგების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გასაჩივრების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ფაქტის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არარსებობის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გამო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ამოწურა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რსებული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შიდასახელმწიფოებრივი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საშუალებები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041FF047" w14:textId="620CE6CF" w:rsidR="00B11C1F" w:rsidRDefault="002728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spacing w:before="122" w:line="249" w:lineRule="auto"/>
        <w:ind w:right="1242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განცხადებას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ნებისმიერი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პოტენციური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გასაჩივრება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სასამართლოებში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ზედმეტად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ხანგრძლივდება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არგუმენტს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პრეტენზიები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კუთხით</w:t>
      </w:r>
      <w:r w:rsidR="00221B8A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ზოგადი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ბუნდოვანი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უბრალო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ვარაუდები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ითვალისწინებს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იმასაც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თქმით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სტატისტიკის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მიხედვით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საქმეზე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მიღებას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საშუალოდ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შვიდი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წელი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სჭირდება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ვინაიდან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ავტორს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დაუწყია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ჯანდაცვის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ომიტეტების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გასაჩივრება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კომპეტენტურ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ადმინისტრაციულ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სასამართლოებში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მას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შეუძლია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საჩივრის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წარმოების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სავარაუდო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ხანგრძლივობასთან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დაკავშირებით</w:t>
      </w:r>
      <w:r w:rsidR="007A44FA">
        <w:rPr>
          <w:rFonts w:ascii="Arial Unicode MS" w:eastAsia="Arial Unicode MS" w:hAnsi="Arial Unicode MS" w:cs="Arial Unicode MS"/>
          <w:color w:val="000000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დასკვნების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წინასწარ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გაკეთება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ამიტომ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მიიჩნევს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დაუშვებელია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-2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შესაბამისად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58518E16" w14:textId="77777777" w:rsidR="00B11C1F" w:rsidRDefault="00B11C1F">
      <w:pPr>
        <w:tabs>
          <w:tab w:val="left" w:pos="1835"/>
        </w:tabs>
        <w:spacing w:before="128" w:line="249" w:lineRule="auto"/>
        <w:ind w:right="1241"/>
        <w:rPr>
          <w:sz w:val="31"/>
          <w:szCs w:val="31"/>
        </w:rPr>
      </w:pPr>
    </w:p>
    <w:p w14:paraId="4BC4C7F8" w14:textId="77777777" w:rsidR="00B11C1F" w:rsidRDefault="0027280F">
      <w:pPr>
        <w:pStyle w:val="Heading1"/>
        <w:numPr>
          <w:ilvl w:val="0"/>
          <w:numId w:val="3"/>
        </w:numPr>
        <w:tabs>
          <w:tab w:val="left" w:pos="1265"/>
          <w:tab w:val="left" w:pos="1266"/>
        </w:tabs>
      </w:pPr>
      <w:r>
        <w:rPr>
          <w:rFonts w:ascii="Arial Unicode MS" w:eastAsia="Arial Unicode MS" w:hAnsi="Arial Unicode MS" w:cs="Arial Unicode MS"/>
        </w:rPr>
        <w:t>დასკვნა</w:t>
      </w:r>
    </w:p>
    <w:p w14:paraId="57385719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1"/>
          <w:szCs w:val="21"/>
        </w:rPr>
      </w:pPr>
    </w:p>
    <w:p w14:paraId="27724A67" w14:textId="77777777" w:rsidR="00B11C1F" w:rsidRDefault="002728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5"/>
        </w:tabs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კომიტეტმა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გადაწყვიტა</w:t>
      </w:r>
      <w:r>
        <w:rPr>
          <w:color w:val="000000"/>
          <w:sz w:val="20"/>
          <w:szCs w:val="20"/>
        </w:rPr>
        <w:t>:</w:t>
      </w:r>
    </w:p>
    <w:p w14:paraId="669D0F9B" w14:textId="77777777" w:rsidR="00B11C1F" w:rsidRDefault="0027280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1"/>
          <w:tab w:val="left" w:pos="2402"/>
        </w:tabs>
        <w:spacing w:before="130" w:line="249" w:lineRule="auto"/>
        <w:ind w:right="1246" w:firstLine="567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შეტყობინება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დასაშვები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ფაკულტატური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ოქმის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მე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-2 (d)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მუხლის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საფუძველზე</w:t>
      </w:r>
      <w:r>
        <w:rPr>
          <w:color w:val="000000"/>
          <w:sz w:val="20"/>
          <w:szCs w:val="20"/>
        </w:rPr>
        <w:t>;</w:t>
      </w:r>
    </w:p>
    <w:p w14:paraId="326CA45F" w14:textId="77777777" w:rsidR="00B11C1F" w:rsidRDefault="0027280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1"/>
          <w:tab w:val="left" w:pos="2402"/>
        </w:tabs>
        <w:spacing w:before="5"/>
        <w:ind w:left="2401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აღნიშნული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გადაწყვეტილება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გაეცნოს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მხარეს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მომჩივანს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14:paraId="0CEA9C0B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1F710912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4E75BE6C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161708A2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0CB2E8B3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4695D732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7D6D6D88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6A0FE879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7F5663B6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303C43B1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12FD9979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25F564F7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522F1F70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74D5DF01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4BD928F7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65057275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1D04CD78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5C4B3BB3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4D3E2A54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64EAAC5C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19E32914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3AABAE12" w14:textId="77777777" w:rsidR="00B11C1F" w:rsidRDefault="0027280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     _____________</w:t>
      </w:r>
    </w:p>
    <w:p w14:paraId="6741BF27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604F3A78" w14:textId="77777777" w:rsidR="00B11C1F" w:rsidRDefault="0027280F">
      <w:pPr>
        <w:spacing w:before="72" w:line="254" w:lineRule="auto"/>
        <w:ind w:left="1266" w:right="1239" w:hanging="172"/>
        <w:rPr>
          <w:rFonts w:ascii="Merriweather" w:eastAsia="Merriweather" w:hAnsi="Merriweather" w:cs="Merriweather"/>
          <w:sz w:val="18"/>
          <w:szCs w:val="18"/>
        </w:rPr>
      </w:pPr>
      <w:r>
        <w:rPr>
          <w:sz w:val="20"/>
          <w:szCs w:val="20"/>
          <w:vertAlign w:val="superscript"/>
        </w:rPr>
        <w:lastRenderedPageBreak/>
        <w:t xml:space="preserve">1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დ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.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ლ</w:t>
      </w:r>
      <w:r>
        <w:rPr>
          <w:i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შვედეთის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წინააღმდეგ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(CRPD/C/17/D/31/2015), </w:t>
      </w:r>
      <w:r>
        <w:rPr>
          <w:rFonts w:ascii="Arial Unicode MS" w:eastAsia="Arial Unicode MS" w:hAnsi="Arial Unicode MS" w:cs="Arial Unicode MS"/>
          <w:sz w:val="18"/>
          <w:szCs w:val="18"/>
        </w:rPr>
        <w:t>პუნქტ</w:t>
      </w:r>
      <w:r>
        <w:rPr>
          <w:sz w:val="18"/>
          <w:szCs w:val="18"/>
        </w:rPr>
        <w:t xml:space="preserve">. 7.3, </w:t>
      </w:r>
      <w:r>
        <w:rPr>
          <w:rFonts w:ascii="Arial Unicode MS" w:eastAsia="Arial Unicode MS" w:hAnsi="Arial Unicode MS" w:cs="Arial Unicode MS"/>
          <w:sz w:val="18"/>
          <w:szCs w:val="18"/>
        </w:rPr>
        <w:t>და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ე</w:t>
      </w:r>
      <w:r>
        <w:rPr>
          <w:i/>
          <w:sz w:val="18"/>
          <w:szCs w:val="18"/>
        </w:rPr>
        <w:t>.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ო</w:t>
      </w:r>
      <w:r>
        <w:rPr>
          <w:i/>
          <w:sz w:val="18"/>
          <w:szCs w:val="18"/>
        </w:rPr>
        <w:t>.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ჯ</w:t>
      </w:r>
      <w:r>
        <w:rPr>
          <w:i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სხვები</w:t>
      </w:r>
      <w:r>
        <w:rPr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შვედეთის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წინააღმდეგ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(CRPD/C/18/D/28/2015), </w:t>
      </w:r>
      <w:r>
        <w:rPr>
          <w:rFonts w:ascii="Arial Unicode MS" w:eastAsia="Arial Unicode MS" w:hAnsi="Arial Unicode MS" w:cs="Arial Unicode MS"/>
          <w:sz w:val="18"/>
          <w:szCs w:val="18"/>
        </w:rPr>
        <w:t>პუნქტ</w:t>
      </w:r>
      <w:r>
        <w:rPr>
          <w:sz w:val="18"/>
          <w:szCs w:val="18"/>
        </w:rPr>
        <w:t xml:space="preserve">. 10.6. </w:t>
      </w:r>
      <w:r>
        <w:rPr>
          <w:rFonts w:ascii="Arial Unicode MS" w:eastAsia="Arial Unicode MS" w:hAnsi="Arial Unicode MS" w:cs="Arial Unicode MS"/>
          <w:sz w:val="18"/>
          <w:szCs w:val="18"/>
        </w:rPr>
        <w:t>ასევე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იხილეთ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ვ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ს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ახალი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ზელანდიის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წინააღმდეგ</w:t>
      </w:r>
      <w:r>
        <w:rPr>
          <w:sz w:val="18"/>
          <w:szCs w:val="18"/>
        </w:rPr>
        <w:t xml:space="preserve"> (CCPR/C/115/D/2072/2011), </w:t>
      </w:r>
      <w:r>
        <w:rPr>
          <w:rFonts w:ascii="Arial Unicode MS" w:eastAsia="Arial Unicode MS" w:hAnsi="Arial Unicode MS" w:cs="Arial Unicode MS"/>
          <w:sz w:val="18"/>
          <w:szCs w:val="18"/>
        </w:rPr>
        <w:t>პუნქტ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. </w:t>
      </w:r>
      <w:r>
        <w:rPr>
          <w:sz w:val="18"/>
          <w:szCs w:val="18"/>
        </w:rPr>
        <w:t xml:space="preserve"> 6.3,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გარსია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პერეა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გარსია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პერეა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ესპანეთის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წინააღმდეგ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(CCPR/C/95/D/1511/2006), </w:t>
      </w:r>
      <w:r>
        <w:rPr>
          <w:rFonts w:ascii="Arial Unicode MS" w:eastAsia="Arial Unicode MS" w:hAnsi="Arial Unicode MS" w:cs="Arial Unicode MS"/>
          <w:sz w:val="18"/>
          <w:szCs w:val="18"/>
        </w:rPr>
        <w:t>პუნქტ</w:t>
      </w:r>
      <w:r>
        <w:rPr>
          <w:sz w:val="18"/>
          <w:szCs w:val="18"/>
        </w:rPr>
        <w:t xml:space="preserve">. 6.2, </w:t>
      </w:r>
      <w:r>
        <w:rPr>
          <w:rFonts w:ascii="Arial Unicode MS" w:eastAsia="Arial Unicode MS" w:hAnsi="Arial Unicode MS" w:cs="Arial Unicode MS"/>
          <w:sz w:val="18"/>
          <w:szCs w:val="18"/>
        </w:rPr>
        <w:t>და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ზსოლტ</w:t>
      </w:r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ვერგეი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კანადის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>წინააღმდეგ</w:t>
      </w:r>
      <w:r>
        <w:rPr>
          <w:rFonts w:ascii="Arial Unicode MS" w:eastAsia="Arial Unicode MS" w:hAnsi="Arial Unicode MS" w:cs="Arial Unicode MS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(CCPR/C/96/D/1639/2007), </w:t>
      </w:r>
      <w:r>
        <w:rPr>
          <w:rFonts w:ascii="Arial Unicode MS" w:eastAsia="Arial Unicode MS" w:hAnsi="Arial Unicode MS" w:cs="Arial Unicode MS"/>
          <w:sz w:val="18"/>
          <w:szCs w:val="18"/>
        </w:rPr>
        <w:t>პუნქტი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7.3.</w:t>
      </w:r>
    </w:p>
    <w:p w14:paraId="5A82FEBC" w14:textId="77777777" w:rsidR="00B11C1F" w:rsidRDefault="00B11C1F">
      <w:pPr>
        <w:spacing w:before="72" w:line="254" w:lineRule="auto"/>
        <w:ind w:left="1266" w:right="1239" w:hanging="172"/>
        <w:rPr>
          <w:rFonts w:ascii="Merriweather" w:eastAsia="Merriweather" w:hAnsi="Merriweather" w:cs="Merriweather"/>
          <w:sz w:val="18"/>
          <w:szCs w:val="18"/>
        </w:rPr>
        <w:sectPr w:rsidR="00B11C1F">
          <w:headerReference w:type="default" r:id="rId13"/>
          <w:footerReference w:type="default" r:id="rId14"/>
          <w:type w:val="continuous"/>
          <w:pgSz w:w="11910" w:h="16850"/>
          <w:pgMar w:top="1140" w:right="1020" w:bottom="760" w:left="1000" w:header="860" w:footer="565" w:gutter="0"/>
          <w:cols w:space="720"/>
        </w:sectPr>
      </w:pPr>
    </w:p>
    <w:p w14:paraId="6E7356C6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59D4DA05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55BCE7D4" w14:textId="77777777" w:rsidR="00B11C1F" w:rsidRDefault="0027280F">
      <w:pPr>
        <w:widowControl/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bpgArial" w:eastAsia="bpgArial" w:hAnsi="bpgArial" w:cs="bpgArial"/>
          <w:color w:val="A3A3A3"/>
          <w:sz w:val="24"/>
          <w:szCs w:val="24"/>
        </w:rPr>
      </w:pPr>
      <w:r>
        <w:rPr>
          <w:rFonts w:ascii="bpgArial" w:eastAsia="bpgArial" w:hAnsi="bpgArial" w:cs="bpgArial"/>
          <w:noProof/>
          <w:color w:val="A3A3A3"/>
          <w:sz w:val="24"/>
          <w:szCs w:val="24"/>
        </w:rPr>
        <w:drawing>
          <wp:inline distT="0" distB="0" distL="0" distR="0" wp14:anchorId="38F9D2E6" wp14:editId="631C80DE">
            <wp:extent cx="3579495" cy="1002030"/>
            <wp:effectExtent l="0" t="0" r="0" b="0"/>
            <wp:docPr id="9" name="image3.jp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Graphical user interface, application&#10;&#10;Description automatically generate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1002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68D14" w14:textId="77777777" w:rsidR="00B11C1F" w:rsidRDefault="0027280F">
      <w:pPr>
        <w:widowControl/>
        <w:pBdr>
          <w:top w:val="nil"/>
          <w:left w:val="nil"/>
          <w:bottom w:val="nil"/>
          <w:right w:val="nil"/>
          <w:between w:val="nil"/>
        </w:pBdr>
        <w:spacing w:after="150" w:line="276" w:lineRule="auto"/>
        <w:rPr>
          <w:rFonts w:ascii="Merriweather" w:eastAsia="Merriweather" w:hAnsi="Merriweather" w:cs="Merriweather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თარგმანი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შექმნილია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ევროკავშირის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მხარდაჭერით</w:t>
      </w:r>
      <w:r>
        <w:rPr>
          <w:rFonts w:ascii="Arial Unicode MS" w:eastAsia="Arial Unicode MS" w:hAnsi="Arial Unicode MS" w:cs="Arial Unicode MS"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color w:val="000000"/>
        </w:rPr>
        <w:t>მის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შინაარსზე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სრულად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პასუხისმგებელია</w:t>
      </w:r>
      <w:r>
        <w:rPr>
          <w:rFonts w:ascii="Arial Unicode MS" w:eastAsia="Arial Unicode MS" w:hAnsi="Arial Unicode MS" w:cs="Arial Unicode MS"/>
          <w:color w:val="000000"/>
        </w:rPr>
        <w:t xml:space="preserve"> "</w:t>
      </w:r>
      <w:r>
        <w:rPr>
          <w:rFonts w:ascii="Arial Unicode MS" w:eastAsia="Arial Unicode MS" w:hAnsi="Arial Unicode MS" w:cs="Arial Unicode MS"/>
          <w:color w:val="000000"/>
        </w:rPr>
        <w:t>კოალიცია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დამოუკიდებელი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ცხოვრებისათვის</w:t>
      </w:r>
      <w:r>
        <w:rPr>
          <w:rFonts w:ascii="Arial Unicode MS" w:eastAsia="Arial Unicode MS" w:hAnsi="Arial Unicode MS" w:cs="Arial Unicode MS"/>
          <w:color w:val="000000"/>
        </w:rPr>
        <w:t xml:space="preserve">" </w:t>
      </w:r>
      <w:r>
        <w:rPr>
          <w:rFonts w:ascii="Arial Unicode MS" w:eastAsia="Arial Unicode MS" w:hAnsi="Arial Unicode MS" w:cs="Arial Unicode MS"/>
          <w:color w:val="000000"/>
        </w:rPr>
        <w:t>და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შესაძლოა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</w:rPr>
        <w:t>რომ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იგი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არ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გამოხატავდეს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ევროკავშირის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შეხედულებებს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3B2F02AC" w14:textId="77777777" w:rsidR="00B11C1F" w:rsidRDefault="00B11C1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sectPr w:rsidR="00B11C1F">
      <w:headerReference w:type="default" r:id="rId16"/>
      <w:footerReference w:type="default" r:id="rId17"/>
      <w:pgSz w:w="11910" w:h="16850"/>
      <w:pgMar w:top="1140" w:right="1020" w:bottom="760" w:left="1000" w:header="86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585" w14:textId="77777777" w:rsidR="0027280F" w:rsidRDefault="0027280F">
      <w:r>
        <w:separator/>
      </w:r>
    </w:p>
  </w:endnote>
  <w:endnote w:type="continuationSeparator" w:id="0">
    <w:p w14:paraId="7769B97D" w14:textId="77777777" w:rsidR="0027280F" w:rsidRDefault="0027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bpgArial">
    <w:altName w:val="Cambria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6CB3" w14:textId="77777777" w:rsidR="00B11C1F" w:rsidRDefault="00B11C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BA09" w14:textId="77777777" w:rsidR="00B11C1F" w:rsidRDefault="00B11C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F6CF" w14:textId="77777777" w:rsidR="00B11C1F" w:rsidRDefault="00B11C1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862C" w14:textId="77777777" w:rsidR="0027280F" w:rsidRDefault="0027280F">
      <w:r>
        <w:separator/>
      </w:r>
    </w:p>
  </w:footnote>
  <w:footnote w:type="continuationSeparator" w:id="0">
    <w:p w14:paraId="63CF4EAF" w14:textId="77777777" w:rsidR="0027280F" w:rsidRDefault="0027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85A4" w14:textId="77777777" w:rsidR="00B11C1F" w:rsidRDefault="0027280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963A19F" wp14:editId="1E3C1DF1">
              <wp:simplePos x="0" y="0"/>
              <wp:positionH relativeFrom="page">
                <wp:posOffset>701040</wp:posOffset>
              </wp:positionH>
              <wp:positionV relativeFrom="page">
                <wp:posOffset>716280</wp:posOffset>
              </wp:positionV>
              <wp:extent cx="6158230" cy="12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6885" y="3776825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F49C0A" w14:textId="77777777" w:rsidR="00B11C1F" w:rsidRDefault="00B11C1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701040</wp:posOffset>
              </wp:positionH>
              <wp:positionV relativeFrom="page">
                <wp:posOffset>716280</wp:posOffset>
              </wp:positionV>
              <wp:extent cx="6158230" cy="127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3555D7A" wp14:editId="7CEFCA43">
              <wp:simplePos x="0" y="0"/>
              <wp:positionH relativeFrom="page">
                <wp:posOffset>5724843</wp:posOffset>
              </wp:positionH>
              <wp:positionV relativeFrom="page">
                <wp:posOffset>528638</wp:posOffset>
              </wp:positionV>
              <wp:extent cx="1134110" cy="1619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3708" y="3703800"/>
                        <a:ext cx="1124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754B9" w14:textId="77777777" w:rsidR="00B11C1F" w:rsidRDefault="0027280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CRPD/C/21/D/42/2017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5724843</wp:posOffset>
              </wp:positionH>
              <wp:positionV relativeFrom="page">
                <wp:posOffset>528638</wp:posOffset>
              </wp:positionV>
              <wp:extent cx="1134110" cy="161925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41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BF61" w14:textId="77777777" w:rsidR="00B11C1F" w:rsidRDefault="0027280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62F6E58" wp14:editId="34A8F611">
              <wp:simplePos x="0" y="0"/>
              <wp:positionH relativeFrom="page">
                <wp:posOffset>701040</wp:posOffset>
              </wp:positionH>
              <wp:positionV relativeFrom="page">
                <wp:posOffset>716280</wp:posOffset>
              </wp:positionV>
              <wp:extent cx="6158230" cy="12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6885" y="3776825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3B47C6" w14:textId="77777777" w:rsidR="00B11C1F" w:rsidRDefault="00B11C1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701040</wp:posOffset>
              </wp:positionH>
              <wp:positionV relativeFrom="page">
                <wp:posOffset>716280</wp:posOffset>
              </wp:positionV>
              <wp:extent cx="6158230" cy="127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823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50F4CAAF" wp14:editId="5A10739D">
              <wp:simplePos x="0" y="0"/>
              <wp:positionH relativeFrom="page">
                <wp:posOffset>5724843</wp:posOffset>
              </wp:positionH>
              <wp:positionV relativeFrom="page">
                <wp:posOffset>528638</wp:posOffset>
              </wp:positionV>
              <wp:extent cx="1134110" cy="1619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3708" y="3703800"/>
                        <a:ext cx="1124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A957B8" w14:textId="77777777" w:rsidR="00B11C1F" w:rsidRDefault="0027280F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CRPD/C/21/D/42/2017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5724843</wp:posOffset>
              </wp:positionH>
              <wp:positionV relativeFrom="page">
                <wp:posOffset>528638</wp:posOffset>
              </wp:positionV>
              <wp:extent cx="1134110" cy="161925"/>
              <wp:effectExtent b="0" l="0" r="0" t="0"/>
              <wp:wrapNone/>
              <wp:docPr id="6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41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A4B"/>
    <w:multiLevelType w:val="multilevel"/>
    <w:tmpl w:val="FA005CC2"/>
    <w:lvl w:ilvl="0">
      <w:start w:val="3"/>
      <w:numFmt w:val="decimal"/>
      <w:lvlText w:val="%1"/>
      <w:lvlJc w:val="left"/>
      <w:pPr>
        <w:ind w:left="1266" w:hanging="569"/>
      </w:pPr>
    </w:lvl>
    <w:lvl w:ilvl="1">
      <w:start w:val="1"/>
      <w:numFmt w:val="decimal"/>
      <w:lvlText w:val="%1.%2"/>
      <w:lvlJc w:val="left"/>
      <w:pPr>
        <w:ind w:left="1266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85" w:hanging="569"/>
      </w:pPr>
    </w:lvl>
    <w:lvl w:ilvl="3">
      <w:numFmt w:val="bullet"/>
      <w:lvlText w:val="•"/>
      <w:lvlJc w:val="left"/>
      <w:pPr>
        <w:ind w:left="3847" w:hanging="569"/>
      </w:pPr>
    </w:lvl>
    <w:lvl w:ilvl="4">
      <w:numFmt w:val="bullet"/>
      <w:lvlText w:val="•"/>
      <w:lvlJc w:val="left"/>
      <w:pPr>
        <w:ind w:left="4710" w:hanging="569"/>
      </w:pPr>
    </w:lvl>
    <w:lvl w:ilvl="5">
      <w:numFmt w:val="bullet"/>
      <w:lvlText w:val="•"/>
      <w:lvlJc w:val="left"/>
      <w:pPr>
        <w:ind w:left="5573" w:hanging="569"/>
      </w:pPr>
    </w:lvl>
    <w:lvl w:ilvl="6">
      <w:numFmt w:val="bullet"/>
      <w:lvlText w:val="•"/>
      <w:lvlJc w:val="left"/>
      <w:pPr>
        <w:ind w:left="6435" w:hanging="569"/>
      </w:pPr>
    </w:lvl>
    <w:lvl w:ilvl="7">
      <w:numFmt w:val="bullet"/>
      <w:lvlText w:val="•"/>
      <w:lvlJc w:val="left"/>
      <w:pPr>
        <w:ind w:left="7298" w:hanging="569"/>
      </w:pPr>
    </w:lvl>
    <w:lvl w:ilvl="8">
      <w:numFmt w:val="bullet"/>
      <w:lvlText w:val="•"/>
      <w:lvlJc w:val="left"/>
      <w:pPr>
        <w:ind w:left="8161" w:hanging="569"/>
      </w:pPr>
    </w:lvl>
  </w:abstractNum>
  <w:abstractNum w:abstractNumId="1" w15:restartNumberingAfterBreak="0">
    <w:nsid w:val="0A2F6080"/>
    <w:multiLevelType w:val="multilevel"/>
    <w:tmpl w:val="D160075A"/>
    <w:lvl w:ilvl="0">
      <w:start w:val="1"/>
      <w:numFmt w:val="upperLetter"/>
      <w:lvlText w:val="%1."/>
      <w:lvlJc w:val="left"/>
      <w:pPr>
        <w:ind w:left="1266" w:hanging="51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7"/>
      <w:numFmt w:val="decimal"/>
      <w:lvlText w:val="%2."/>
      <w:lvlJc w:val="left"/>
      <w:pPr>
        <w:ind w:left="1834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Letter"/>
      <w:lvlText w:val="(%3)"/>
      <w:lvlJc w:val="left"/>
      <w:pPr>
        <w:ind w:left="1266" w:hanging="567"/>
      </w:pPr>
      <w:rPr>
        <w:rFonts w:ascii="Times New Roman" w:eastAsia="Times New Roman" w:hAnsi="Times New Roman" w:cs="Times New Roman"/>
        <w:sz w:val="20"/>
        <w:szCs w:val="20"/>
      </w:rPr>
    </w:lvl>
    <w:lvl w:ilvl="3">
      <w:numFmt w:val="bullet"/>
      <w:lvlText w:val="•"/>
      <w:lvlJc w:val="left"/>
      <w:pPr>
        <w:ind w:left="3628" w:hanging="567"/>
      </w:pPr>
    </w:lvl>
    <w:lvl w:ilvl="4">
      <w:numFmt w:val="bullet"/>
      <w:lvlText w:val="•"/>
      <w:lvlJc w:val="left"/>
      <w:pPr>
        <w:ind w:left="4522" w:hanging="567"/>
      </w:pPr>
    </w:lvl>
    <w:lvl w:ilvl="5">
      <w:numFmt w:val="bullet"/>
      <w:lvlText w:val="•"/>
      <w:lvlJc w:val="left"/>
      <w:pPr>
        <w:ind w:left="5416" w:hanging="567"/>
      </w:pPr>
    </w:lvl>
    <w:lvl w:ilvl="6">
      <w:numFmt w:val="bullet"/>
      <w:lvlText w:val="•"/>
      <w:lvlJc w:val="left"/>
      <w:pPr>
        <w:ind w:left="6310" w:hanging="567"/>
      </w:pPr>
    </w:lvl>
    <w:lvl w:ilvl="7">
      <w:numFmt w:val="bullet"/>
      <w:lvlText w:val="•"/>
      <w:lvlJc w:val="left"/>
      <w:pPr>
        <w:ind w:left="7204" w:hanging="567"/>
      </w:pPr>
    </w:lvl>
    <w:lvl w:ilvl="8">
      <w:numFmt w:val="bullet"/>
      <w:lvlText w:val="•"/>
      <w:lvlJc w:val="left"/>
      <w:pPr>
        <w:ind w:left="8098" w:hanging="567"/>
      </w:pPr>
    </w:lvl>
  </w:abstractNum>
  <w:abstractNum w:abstractNumId="2" w15:restartNumberingAfterBreak="0">
    <w:nsid w:val="0DBA56AA"/>
    <w:multiLevelType w:val="multilevel"/>
    <w:tmpl w:val="FC4A432A"/>
    <w:lvl w:ilvl="0">
      <w:start w:val="2"/>
      <w:numFmt w:val="decimal"/>
      <w:lvlText w:val="%1"/>
      <w:lvlJc w:val="left"/>
      <w:pPr>
        <w:ind w:left="1266" w:hanging="569"/>
      </w:pPr>
    </w:lvl>
    <w:lvl w:ilvl="1">
      <w:start w:val="1"/>
      <w:numFmt w:val="decimal"/>
      <w:lvlText w:val="%1.%2"/>
      <w:lvlJc w:val="left"/>
      <w:pPr>
        <w:ind w:left="1266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85" w:hanging="569"/>
      </w:pPr>
    </w:lvl>
    <w:lvl w:ilvl="3">
      <w:numFmt w:val="bullet"/>
      <w:lvlText w:val="•"/>
      <w:lvlJc w:val="left"/>
      <w:pPr>
        <w:ind w:left="3847" w:hanging="569"/>
      </w:pPr>
    </w:lvl>
    <w:lvl w:ilvl="4">
      <w:numFmt w:val="bullet"/>
      <w:lvlText w:val="•"/>
      <w:lvlJc w:val="left"/>
      <w:pPr>
        <w:ind w:left="4710" w:hanging="569"/>
      </w:pPr>
    </w:lvl>
    <w:lvl w:ilvl="5">
      <w:numFmt w:val="bullet"/>
      <w:lvlText w:val="•"/>
      <w:lvlJc w:val="left"/>
      <w:pPr>
        <w:ind w:left="5573" w:hanging="569"/>
      </w:pPr>
    </w:lvl>
    <w:lvl w:ilvl="6">
      <w:numFmt w:val="bullet"/>
      <w:lvlText w:val="•"/>
      <w:lvlJc w:val="left"/>
      <w:pPr>
        <w:ind w:left="6435" w:hanging="569"/>
      </w:pPr>
    </w:lvl>
    <w:lvl w:ilvl="7">
      <w:numFmt w:val="bullet"/>
      <w:lvlText w:val="•"/>
      <w:lvlJc w:val="left"/>
      <w:pPr>
        <w:ind w:left="7298" w:hanging="569"/>
      </w:pPr>
    </w:lvl>
    <w:lvl w:ilvl="8">
      <w:numFmt w:val="bullet"/>
      <w:lvlText w:val="•"/>
      <w:lvlJc w:val="left"/>
      <w:pPr>
        <w:ind w:left="8161" w:hanging="569"/>
      </w:pPr>
    </w:lvl>
  </w:abstractNum>
  <w:abstractNum w:abstractNumId="3" w15:restartNumberingAfterBreak="0">
    <w:nsid w:val="101A6A2A"/>
    <w:multiLevelType w:val="multilevel"/>
    <w:tmpl w:val="2FDED700"/>
    <w:lvl w:ilvl="0">
      <w:start w:val="6"/>
      <w:numFmt w:val="decimal"/>
      <w:lvlText w:val="%1"/>
      <w:lvlJc w:val="left"/>
      <w:pPr>
        <w:ind w:left="1266" w:hanging="569"/>
      </w:pPr>
    </w:lvl>
    <w:lvl w:ilvl="1">
      <w:start w:val="1"/>
      <w:numFmt w:val="decimal"/>
      <w:lvlText w:val="%1.%2"/>
      <w:lvlJc w:val="left"/>
      <w:pPr>
        <w:ind w:left="1266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85" w:hanging="569"/>
      </w:pPr>
    </w:lvl>
    <w:lvl w:ilvl="3">
      <w:numFmt w:val="bullet"/>
      <w:lvlText w:val="•"/>
      <w:lvlJc w:val="left"/>
      <w:pPr>
        <w:ind w:left="3847" w:hanging="569"/>
      </w:pPr>
    </w:lvl>
    <w:lvl w:ilvl="4">
      <w:numFmt w:val="bullet"/>
      <w:lvlText w:val="•"/>
      <w:lvlJc w:val="left"/>
      <w:pPr>
        <w:ind w:left="4710" w:hanging="569"/>
      </w:pPr>
    </w:lvl>
    <w:lvl w:ilvl="5">
      <w:numFmt w:val="bullet"/>
      <w:lvlText w:val="•"/>
      <w:lvlJc w:val="left"/>
      <w:pPr>
        <w:ind w:left="5573" w:hanging="569"/>
      </w:pPr>
    </w:lvl>
    <w:lvl w:ilvl="6">
      <w:numFmt w:val="bullet"/>
      <w:lvlText w:val="•"/>
      <w:lvlJc w:val="left"/>
      <w:pPr>
        <w:ind w:left="6435" w:hanging="569"/>
      </w:pPr>
    </w:lvl>
    <w:lvl w:ilvl="7">
      <w:numFmt w:val="bullet"/>
      <w:lvlText w:val="•"/>
      <w:lvlJc w:val="left"/>
      <w:pPr>
        <w:ind w:left="7298" w:hanging="569"/>
      </w:pPr>
    </w:lvl>
    <w:lvl w:ilvl="8">
      <w:numFmt w:val="bullet"/>
      <w:lvlText w:val="•"/>
      <w:lvlJc w:val="left"/>
      <w:pPr>
        <w:ind w:left="8161" w:hanging="569"/>
      </w:pPr>
    </w:lvl>
  </w:abstractNum>
  <w:abstractNum w:abstractNumId="4" w15:restartNumberingAfterBreak="0">
    <w:nsid w:val="395F2BCC"/>
    <w:multiLevelType w:val="multilevel"/>
    <w:tmpl w:val="EF90FAC0"/>
    <w:lvl w:ilvl="0">
      <w:start w:val="1"/>
      <w:numFmt w:val="decimal"/>
      <w:lvlText w:val="%1"/>
      <w:lvlJc w:val="left"/>
      <w:pPr>
        <w:ind w:left="1266" w:hanging="569"/>
      </w:pPr>
    </w:lvl>
    <w:lvl w:ilvl="1">
      <w:start w:val="1"/>
      <w:numFmt w:val="decimal"/>
      <w:lvlText w:val="%1.%2"/>
      <w:lvlJc w:val="left"/>
      <w:pPr>
        <w:ind w:left="1266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85" w:hanging="569"/>
      </w:pPr>
    </w:lvl>
    <w:lvl w:ilvl="3">
      <w:numFmt w:val="bullet"/>
      <w:lvlText w:val="•"/>
      <w:lvlJc w:val="left"/>
      <w:pPr>
        <w:ind w:left="3847" w:hanging="569"/>
      </w:pPr>
    </w:lvl>
    <w:lvl w:ilvl="4">
      <w:numFmt w:val="bullet"/>
      <w:lvlText w:val="•"/>
      <w:lvlJc w:val="left"/>
      <w:pPr>
        <w:ind w:left="4710" w:hanging="569"/>
      </w:pPr>
    </w:lvl>
    <w:lvl w:ilvl="5">
      <w:numFmt w:val="bullet"/>
      <w:lvlText w:val="•"/>
      <w:lvlJc w:val="left"/>
      <w:pPr>
        <w:ind w:left="5573" w:hanging="569"/>
      </w:pPr>
    </w:lvl>
    <w:lvl w:ilvl="6">
      <w:numFmt w:val="bullet"/>
      <w:lvlText w:val="•"/>
      <w:lvlJc w:val="left"/>
      <w:pPr>
        <w:ind w:left="6435" w:hanging="569"/>
      </w:pPr>
    </w:lvl>
    <w:lvl w:ilvl="7">
      <w:numFmt w:val="bullet"/>
      <w:lvlText w:val="•"/>
      <w:lvlJc w:val="left"/>
      <w:pPr>
        <w:ind w:left="7298" w:hanging="569"/>
      </w:pPr>
    </w:lvl>
    <w:lvl w:ilvl="8">
      <w:numFmt w:val="bullet"/>
      <w:lvlText w:val="•"/>
      <w:lvlJc w:val="left"/>
      <w:pPr>
        <w:ind w:left="8161" w:hanging="569"/>
      </w:pPr>
    </w:lvl>
  </w:abstractNum>
  <w:abstractNum w:abstractNumId="5" w15:restartNumberingAfterBreak="0">
    <w:nsid w:val="3EA04539"/>
    <w:multiLevelType w:val="multilevel"/>
    <w:tmpl w:val="B596AB5A"/>
    <w:lvl w:ilvl="0">
      <w:start w:val="4"/>
      <w:numFmt w:val="decimal"/>
      <w:lvlText w:val="%1"/>
      <w:lvlJc w:val="left"/>
      <w:pPr>
        <w:ind w:left="1266" w:hanging="569"/>
      </w:pPr>
    </w:lvl>
    <w:lvl w:ilvl="1">
      <w:start w:val="1"/>
      <w:numFmt w:val="decimal"/>
      <w:lvlText w:val="%1.%2"/>
      <w:lvlJc w:val="left"/>
      <w:pPr>
        <w:ind w:left="1266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85" w:hanging="569"/>
      </w:pPr>
    </w:lvl>
    <w:lvl w:ilvl="3">
      <w:numFmt w:val="bullet"/>
      <w:lvlText w:val="•"/>
      <w:lvlJc w:val="left"/>
      <w:pPr>
        <w:ind w:left="3847" w:hanging="569"/>
      </w:pPr>
    </w:lvl>
    <w:lvl w:ilvl="4">
      <w:numFmt w:val="bullet"/>
      <w:lvlText w:val="•"/>
      <w:lvlJc w:val="left"/>
      <w:pPr>
        <w:ind w:left="4710" w:hanging="569"/>
      </w:pPr>
    </w:lvl>
    <w:lvl w:ilvl="5">
      <w:numFmt w:val="bullet"/>
      <w:lvlText w:val="•"/>
      <w:lvlJc w:val="left"/>
      <w:pPr>
        <w:ind w:left="5573" w:hanging="569"/>
      </w:pPr>
    </w:lvl>
    <w:lvl w:ilvl="6">
      <w:numFmt w:val="bullet"/>
      <w:lvlText w:val="•"/>
      <w:lvlJc w:val="left"/>
      <w:pPr>
        <w:ind w:left="6435" w:hanging="569"/>
      </w:pPr>
    </w:lvl>
    <w:lvl w:ilvl="7">
      <w:numFmt w:val="bullet"/>
      <w:lvlText w:val="•"/>
      <w:lvlJc w:val="left"/>
      <w:pPr>
        <w:ind w:left="7298" w:hanging="569"/>
      </w:pPr>
    </w:lvl>
    <w:lvl w:ilvl="8">
      <w:numFmt w:val="bullet"/>
      <w:lvlText w:val="•"/>
      <w:lvlJc w:val="left"/>
      <w:pPr>
        <w:ind w:left="8161" w:hanging="569"/>
      </w:pPr>
    </w:lvl>
  </w:abstractNum>
  <w:abstractNum w:abstractNumId="6" w15:restartNumberingAfterBreak="0">
    <w:nsid w:val="58B149DE"/>
    <w:multiLevelType w:val="multilevel"/>
    <w:tmpl w:val="FA66A946"/>
    <w:lvl w:ilvl="0">
      <w:start w:val="5"/>
      <w:numFmt w:val="decimal"/>
      <w:lvlText w:val="%1"/>
      <w:lvlJc w:val="left"/>
      <w:pPr>
        <w:ind w:left="1266" w:hanging="569"/>
      </w:pPr>
    </w:lvl>
    <w:lvl w:ilvl="1">
      <w:start w:val="1"/>
      <w:numFmt w:val="decimal"/>
      <w:lvlText w:val="%1.%2"/>
      <w:lvlJc w:val="left"/>
      <w:pPr>
        <w:ind w:left="1266" w:hanging="569"/>
      </w:pPr>
      <w:rPr>
        <w:rFonts w:ascii="Times New Roman" w:eastAsia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ind w:left="2985" w:hanging="569"/>
      </w:pPr>
    </w:lvl>
    <w:lvl w:ilvl="3">
      <w:numFmt w:val="bullet"/>
      <w:lvlText w:val="•"/>
      <w:lvlJc w:val="left"/>
      <w:pPr>
        <w:ind w:left="3847" w:hanging="569"/>
      </w:pPr>
    </w:lvl>
    <w:lvl w:ilvl="4">
      <w:numFmt w:val="bullet"/>
      <w:lvlText w:val="•"/>
      <w:lvlJc w:val="left"/>
      <w:pPr>
        <w:ind w:left="4710" w:hanging="569"/>
      </w:pPr>
    </w:lvl>
    <w:lvl w:ilvl="5">
      <w:numFmt w:val="bullet"/>
      <w:lvlText w:val="•"/>
      <w:lvlJc w:val="left"/>
      <w:pPr>
        <w:ind w:left="5573" w:hanging="569"/>
      </w:pPr>
    </w:lvl>
    <w:lvl w:ilvl="6">
      <w:numFmt w:val="bullet"/>
      <w:lvlText w:val="•"/>
      <w:lvlJc w:val="left"/>
      <w:pPr>
        <w:ind w:left="6435" w:hanging="569"/>
      </w:pPr>
    </w:lvl>
    <w:lvl w:ilvl="7">
      <w:numFmt w:val="bullet"/>
      <w:lvlText w:val="•"/>
      <w:lvlJc w:val="left"/>
      <w:pPr>
        <w:ind w:left="7298" w:hanging="569"/>
      </w:pPr>
    </w:lvl>
    <w:lvl w:ilvl="8">
      <w:numFmt w:val="bullet"/>
      <w:lvlText w:val="•"/>
      <w:lvlJc w:val="left"/>
      <w:pPr>
        <w:ind w:left="8161" w:hanging="569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1F"/>
    <w:rsid w:val="00221B8A"/>
    <w:rsid w:val="00230EAC"/>
    <w:rsid w:val="0027280F"/>
    <w:rsid w:val="00535D80"/>
    <w:rsid w:val="007A44FA"/>
    <w:rsid w:val="00A5498F"/>
    <w:rsid w:val="00B11C1F"/>
    <w:rsid w:val="00D52C78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45C43B"/>
  <w15:docId w15:val="{29D33F5F-AD02-2F43-82C1-EAD7CF70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ka-GE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266" w:hanging="514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266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598" w:lineRule="auto"/>
      <w:ind w:left="20"/>
    </w:pPr>
    <w:rPr>
      <w:rFonts w:ascii="Lucida Sans" w:eastAsia="Lucida Sans" w:hAnsi="Lucida Sans" w:cs="Lucida Sans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cilmicrosoftoffice</cp:lastModifiedBy>
  <cp:revision>2</cp:revision>
  <dcterms:created xsi:type="dcterms:W3CDTF">2022-12-09T09:41:00Z</dcterms:created>
  <dcterms:modified xsi:type="dcterms:W3CDTF">2022-12-09T09:41:00Z</dcterms:modified>
</cp:coreProperties>
</file>